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As confidentially submitted to the Securities and Exchange Commission on October 19, 2018</w:t>
      </w:r>
    </w:p>
    <w:p>
      <w:pPr>
        <w:spacing w:after="0" w:line="5" w:lineRule="exact"/>
        <w:rPr>
          <w:sz w:val="24"/>
          <w:szCs w:val="24"/>
          <w:color w:val="auto"/>
        </w:rPr>
      </w:pPr>
    </w:p>
    <w:p>
      <w:pPr>
        <w:ind w:left="936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149860</wp:posOffset>
            </wp:positionH>
            <wp:positionV relativeFrom="paragraph">
              <wp:posOffset>53340</wp:posOffset>
            </wp:positionV>
            <wp:extent cx="6957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7695" cy="825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95885</wp:posOffset>
            </wp:positionV>
            <wp:extent cx="6957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7695" cy="8255"/>
                    </a:xfrm>
                    <a:prstGeom prst="rect">
                      <a:avLst/>
                    </a:prstGeom>
                    <a:noFill/>
                  </pic:spPr>
                </pic:pic>
              </a:graphicData>
            </a:graphic>
          </wp:anchor>
        </w:drawing>
      </w:r>
    </w:p>
    <w:p>
      <w:pPr>
        <w:spacing w:after="0" w:line="193"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3"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144145</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96"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FORM F-1</w:t>
      </w:r>
    </w:p>
    <w:p>
      <w:pPr>
        <w:spacing w:after="0" w:line="34"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REGISTRATION STATEMENT</w:t>
      </w:r>
    </w:p>
    <w:p>
      <w:pPr>
        <w:jc w:val="center"/>
        <w:ind w:right="-239"/>
        <w:spacing w:after="0"/>
        <w:rPr>
          <w:sz w:val="20"/>
          <w:szCs w:val="20"/>
          <w:color w:val="auto"/>
        </w:rPr>
      </w:pPr>
      <w:r>
        <w:rPr>
          <w:rFonts w:ascii="Arial" w:cs="Arial" w:eastAsia="Arial" w:hAnsi="Arial"/>
          <w:sz w:val="20"/>
          <w:szCs w:val="20"/>
          <w:b w:val="1"/>
          <w:bCs w:val="1"/>
          <w:i w:val="1"/>
          <w:iCs w:val="1"/>
          <w:color w:val="auto"/>
        </w:rPr>
        <w:t>UNDER</w:t>
      </w:r>
    </w:p>
    <w:p>
      <w:pPr>
        <w:jc w:val="center"/>
        <w:ind w:right="-23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144145</wp:posOffset>
            </wp:positionV>
            <wp:extent cx="1466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92" w:lineRule="exact"/>
        <w:rPr>
          <w:sz w:val="24"/>
          <w:szCs w:val="24"/>
          <w:color w:val="auto"/>
        </w:rPr>
      </w:pPr>
    </w:p>
    <w:p>
      <w:pPr>
        <w:jc w:val="center"/>
        <w:ind w:right="-239"/>
        <w:spacing w:after="0"/>
        <w:rPr>
          <w:sz w:val="20"/>
          <w:szCs w:val="20"/>
          <w:color w:val="auto"/>
        </w:rPr>
      </w:pPr>
      <w:r>
        <w:rPr>
          <w:rFonts w:ascii="Arial" w:cs="Arial" w:eastAsia="Arial" w:hAnsi="Arial"/>
          <w:sz w:val="36"/>
          <w:szCs w:val="36"/>
          <w:b w:val="1"/>
          <w:bCs w:val="1"/>
          <w:color w:val="auto"/>
        </w:rPr>
        <w:t>Futu Holdings Limited</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138430</wp:posOffset>
            </wp:positionV>
            <wp:extent cx="1466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05"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147955</wp:posOffset>
            </wp:positionV>
            <wp:extent cx="1466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44" w:lineRule="exact"/>
        <w:rPr>
          <w:sz w:val="24"/>
          <w:szCs w:val="24"/>
          <w:color w:val="auto"/>
        </w:rPr>
      </w:pPr>
    </w:p>
    <w:tbl>
      <w:tblPr>
        <w:tblLayout w:type="fixed"/>
        <w:tblInd w:w="1280" w:type="dxa"/>
        <w:tblCellMar>
          <w:top w:w="0" w:type="dxa"/>
          <w:left w:w="0" w:type="dxa"/>
          <w:bottom w:w="0" w:type="dxa"/>
          <w:right w:w="0" w:type="dxa"/>
        </w:tblCellMar>
      </w:tblPr>
      <w:tr>
        <w:trPr>
          <w:trHeight w:val="172"/>
        </w:trPr>
        <w:tc>
          <w:tcPr>
            <w:tcW w:w="2700" w:type="dxa"/>
            <w:vAlign w:val="bottom"/>
          </w:tcPr>
          <w:p>
            <w:pPr>
              <w:jc w:val="center"/>
              <w:ind w:right="1013"/>
              <w:spacing w:after="0"/>
              <w:rPr>
                <w:sz w:val="20"/>
                <w:szCs w:val="20"/>
                <w:color w:val="auto"/>
              </w:rPr>
            </w:pPr>
            <w:r>
              <w:rPr>
                <w:rFonts w:ascii="Arial" w:cs="Arial" w:eastAsia="Arial" w:hAnsi="Arial"/>
                <w:sz w:val="15"/>
                <w:szCs w:val="15"/>
                <w:b w:val="1"/>
                <w:bCs w:val="1"/>
                <w:color w:val="auto"/>
                <w:w w:val="92"/>
              </w:rPr>
              <w:t>Cayman Islands</w:t>
            </w:r>
          </w:p>
        </w:tc>
        <w:tc>
          <w:tcPr>
            <w:tcW w:w="3740" w:type="dxa"/>
            <w:vAlign w:val="bottom"/>
          </w:tcPr>
          <w:p>
            <w:pPr>
              <w:jc w:val="center"/>
              <w:spacing w:after="0"/>
              <w:rPr>
                <w:sz w:val="20"/>
                <w:szCs w:val="20"/>
                <w:color w:val="auto"/>
              </w:rPr>
            </w:pPr>
            <w:r>
              <w:rPr>
                <w:rFonts w:ascii="Arial" w:cs="Arial" w:eastAsia="Arial" w:hAnsi="Arial"/>
                <w:sz w:val="15"/>
                <w:szCs w:val="15"/>
                <w:b w:val="1"/>
                <w:bCs w:val="1"/>
                <w:color w:val="auto"/>
                <w:w w:val="89"/>
              </w:rPr>
              <w:t>6211</w:t>
            </w:r>
          </w:p>
        </w:tc>
        <w:tc>
          <w:tcPr>
            <w:tcW w:w="2340" w:type="dxa"/>
            <w:vAlign w:val="bottom"/>
          </w:tcPr>
          <w:p>
            <w:pPr>
              <w:jc w:val="center"/>
              <w:ind w:left="1033"/>
              <w:spacing w:after="0"/>
              <w:rPr>
                <w:sz w:val="20"/>
                <w:szCs w:val="20"/>
                <w:color w:val="auto"/>
              </w:rPr>
            </w:pPr>
            <w:r>
              <w:rPr>
                <w:rFonts w:ascii="Arial" w:cs="Arial" w:eastAsia="Arial" w:hAnsi="Arial"/>
                <w:sz w:val="15"/>
                <w:szCs w:val="15"/>
                <w:b w:val="1"/>
                <w:bCs w:val="1"/>
                <w:color w:val="auto"/>
                <w:w w:val="91"/>
              </w:rPr>
              <w:t>Not Applicable</w:t>
            </w:r>
          </w:p>
        </w:tc>
      </w:tr>
      <w:tr>
        <w:trPr>
          <w:trHeight w:val="134"/>
        </w:trPr>
        <w:tc>
          <w:tcPr>
            <w:tcW w:w="2700" w:type="dxa"/>
            <w:vAlign w:val="bottom"/>
          </w:tcPr>
          <w:p>
            <w:pPr>
              <w:jc w:val="center"/>
              <w:ind w:right="993"/>
              <w:spacing w:after="0" w:line="134" w:lineRule="exact"/>
              <w:rPr>
                <w:sz w:val="20"/>
                <w:szCs w:val="20"/>
                <w:color w:val="auto"/>
              </w:rPr>
            </w:pPr>
            <w:r>
              <w:rPr>
                <w:rFonts w:ascii="Arial" w:cs="Arial" w:eastAsia="Arial" w:hAnsi="Arial"/>
                <w:sz w:val="13"/>
                <w:szCs w:val="13"/>
                <w:b w:val="1"/>
                <w:bCs w:val="1"/>
                <w:color w:val="auto"/>
                <w:w w:val="87"/>
              </w:rPr>
              <w:t>(State or other jurisdiction of</w:t>
            </w:r>
          </w:p>
        </w:tc>
        <w:tc>
          <w:tcPr>
            <w:tcW w:w="37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(Primary Standard Industrial</w:t>
            </w:r>
          </w:p>
        </w:tc>
        <w:tc>
          <w:tcPr>
            <w:tcW w:w="2340" w:type="dxa"/>
            <w:vAlign w:val="bottom"/>
          </w:tcPr>
          <w:p>
            <w:pPr>
              <w:jc w:val="center"/>
              <w:ind w:left="1033"/>
              <w:spacing w:after="0" w:line="134" w:lineRule="exact"/>
              <w:rPr>
                <w:sz w:val="20"/>
                <w:szCs w:val="20"/>
                <w:color w:val="auto"/>
              </w:rPr>
            </w:pPr>
            <w:r>
              <w:rPr>
                <w:rFonts w:ascii="Arial" w:cs="Arial" w:eastAsia="Arial" w:hAnsi="Arial"/>
                <w:sz w:val="13"/>
                <w:szCs w:val="13"/>
                <w:b w:val="1"/>
                <w:bCs w:val="1"/>
                <w:color w:val="auto"/>
                <w:w w:val="92"/>
              </w:rPr>
              <w:t>(I.R.S. Employer</w:t>
            </w:r>
          </w:p>
        </w:tc>
      </w:tr>
      <w:tr>
        <w:trPr>
          <w:trHeight w:val="162"/>
        </w:trPr>
        <w:tc>
          <w:tcPr>
            <w:tcW w:w="2700" w:type="dxa"/>
            <w:vAlign w:val="bottom"/>
          </w:tcPr>
          <w:p>
            <w:pPr>
              <w:jc w:val="center"/>
              <w:ind w:right="993"/>
              <w:spacing w:after="0"/>
              <w:rPr>
                <w:sz w:val="20"/>
                <w:szCs w:val="20"/>
                <w:color w:val="auto"/>
              </w:rPr>
            </w:pPr>
            <w:r>
              <w:rPr>
                <w:rFonts w:ascii="Arial" w:cs="Arial" w:eastAsia="Arial" w:hAnsi="Arial"/>
                <w:sz w:val="13"/>
                <w:szCs w:val="13"/>
                <w:b w:val="1"/>
                <w:bCs w:val="1"/>
                <w:color w:val="auto"/>
                <w:w w:val="88"/>
              </w:rPr>
              <w:t>incorporation or organization)</w:t>
            </w:r>
          </w:p>
        </w:tc>
        <w:tc>
          <w:tcPr>
            <w:tcW w:w="3740" w:type="dxa"/>
            <w:vAlign w:val="bottom"/>
          </w:tcPr>
          <w:p>
            <w:pPr>
              <w:jc w:val="center"/>
              <w:spacing w:after="0"/>
              <w:rPr>
                <w:sz w:val="20"/>
                <w:szCs w:val="20"/>
                <w:color w:val="auto"/>
              </w:rPr>
            </w:pPr>
            <w:r>
              <w:rPr>
                <w:rFonts w:ascii="Arial" w:cs="Arial" w:eastAsia="Arial" w:hAnsi="Arial"/>
                <w:sz w:val="13"/>
                <w:szCs w:val="13"/>
                <w:b w:val="1"/>
                <w:bCs w:val="1"/>
                <w:color w:val="auto"/>
                <w:w w:val="86"/>
              </w:rPr>
              <w:t>Classification Code Number)</w:t>
            </w:r>
          </w:p>
        </w:tc>
        <w:tc>
          <w:tcPr>
            <w:tcW w:w="2340" w:type="dxa"/>
            <w:vAlign w:val="bottom"/>
          </w:tcPr>
          <w:p>
            <w:pPr>
              <w:jc w:val="center"/>
              <w:ind w:left="1033"/>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02"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11/F, Bangkok Bank Building</w:t>
      </w:r>
    </w:p>
    <w:p>
      <w:pPr>
        <w:jc w:val="center"/>
        <w:ind w:right="-239"/>
        <w:spacing w:after="0" w:line="230" w:lineRule="auto"/>
        <w:rPr>
          <w:sz w:val="20"/>
          <w:szCs w:val="20"/>
          <w:color w:val="auto"/>
        </w:rPr>
      </w:pPr>
      <w:r>
        <w:rPr>
          <w:rFonts w:ascii="Arial" w:cs="Arial" w:eastAsia="Arial" w:hAnsi="Arial"/>
          <w:sz w:val="15"/>
          <w:szCs w:val="15"/>
          <w:b w:val="1"/>
          <w:bCs w:val="1"/>
          <w:color w:val="auto"/>
        </w:rPr>
        <w:t>No. 18 Bonham Strand W, Sheung Wan</w:t>
      </w:r>
    </w:p>
    <w:p>
      <w:pPr>
        <w:jc w:val="center"/>
        <w:ind w:right="-239"/>
        <w:spacing w:after="0" w:line="224" w:lineRule="auto"/>
        <w:rPr>
          <w:sz w:val="20"/>
          <w:szCs w:val="20"/>
          <w:color w:val="auto"/>
        </w:rPr>
      </w:pPr>
      <w:r>
        <w:rPr>
          <w:rFonts w:ascii="Arial" w:cs="Arial" w:eastAsia="Arial" w:hAnsi="Arial"/>
          <w:sz w:val="15"/>
          <w:szCs w:val="15"/>
          <w:b w:val="1"/>
          <w:bCs w:val="1"/>
          <w:color w:val="auto"/>
        </w:rPr>
        <w:t>Hong Kong S.A.R., People’s Republic of China</w:t>
      </w:r>
    </w:p>
    <w:p>
      <w:pPr>
        <w:jc w:val="center"/>
        <w:ind w:right="-239"/>
        <w:spacing w:after="0" w:line="220" w:lineRule="auto"/>
        <w:rPr>
          <w:sz w:val="20"/>
          <w:szCs w:val="20"/>
          <w:color w:val="auto"/>
        </w:rPr>
      </w:pPr>
      <w:r>
        <w:rPr>
          <w:rFonts w:ascii="Arial" w:cs="Arial" w:eastAsia="Arial" w:hAnsi="Arial"/>
          <w:sz w:val="15"/>
          <w:szCs w:val="15"/>
          <w:b w:val="1"/>
          <w:bCs w:val="1"/>
          <w:color w:val="auto"/>
        </w:rPr>
        <w:t>+852 2523-3588</w:t>
      </w:r>
    </w:p>
    <w:p>
      <w:pPr>
        <w:jc w:val="center"/>
        <w:ind w:right="-239"/>
        <w:spacing w:after="0" w:line="238" w:lineRule="auto"/>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95"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155575</wp:posOffset>
            </wp:positionV>
            <wp:extent cx="1466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32" w:lineRule="exact"/>
        <w:rPr>
          <w:sz w:val="24"/>
          <w:szCs w:val="24"/>
          <w:color w:val="auto"/>
        </w:rPr>
      </w:pPr>
    </w:p>
    <w:tbl>
      <w:tblPr>
        <w:tblLayout w:type="fixed"/>
        <w:tblInd w:w="154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4740" w:type="dxa"/>
            <w:vAlign w:val="bottom"/>
          </w:tcPr>
          <w:p>
            <w:pPr>
              <w:ind w:left="500"/>
              <w:spacing w:after="0"/>
              <w:rPr>
                <w:sz w:val="20"/>
                <w:szCs w:val="20"/>
                <w:color w:val="auto"/>
              </w:rPr>
            </w:pPr>
            <w:r>
              <w:rPr>
                <w:rFonts w:ascii="Arial" w:cs="Arial" w:eastAsia="Arial" w:hAnsi="Arial"/>
                <w:sz w:val="15"/>
                <w:szCs w:val="15"/>
                <w:b w:val="1"/>
                <w:bCs w:val="1"/>
                <w:i w:val="1"/>
                <w:iCs w:val="1"/>
                <w:color w:val="auto"/>
              </w:rPr>
              <w:t>Copies to:</w:t>
            </w:r>
          </w:p>
        </w:tc>
      </w:tr>
      <w:tr>
        <w:trPr>
          <w:trHeight w:val="248"/>
        </w:trPr>
        <w:tc>
          <w:tcPr>
            <w:tcW w:w="3360" w:type="dxa"/>
            <w:vAlign w:val="bottom"/>
          </w:tcPr>
          <w:p>
            <w:pPr>
              <w:jc w:val="center"/>
              <w:ind w:right="404"/>
              <w:spacing w:after="0"/>
              <w:rPr>
                <w:sz w:val="20"/>
                <w:szCs w:val="20"/>
                <w:color w:val="auto"/>
              </w:rPr>
            </w:pPr>
            <w:r>
              <w:rPr>
                <w:rFonts w:ascii="Arial" w:cs="Arial" w:eastAsia="Arial" w:hAnsi="Arial"/>
                <w:sz w:val="15"/>
                <w:szCs w:val="15"/>
                <w:b w:val="1"/>
                <w:bCs w:val="1"/>
                <w:color w:val="auto"/>
                <w:w w:val="92"/>
              </w:rPr>
              <w:t>Z. Julie Gao, Esq.</w:t>
            </w:r>
          </w:p>
        </w:tc>
        <w:tc>
          <w:tcPr>
            <w:tcW w:w="4740" w:type="dxa"/>
            <w:vAlign w:val="bottom"/>
          </w:tcPr>
          <w:p>
            <w:pPr>
              <w:jc w:val="center"/>
              <w:ind w:left="2504"/>
              <w:spacing w:after="0"/>
              <w:rPr>
                <w:sz w:val="20"/>
                <w:szCs w:val="20"/>
                <w:color w:val="auto"/>
              </w:rPr>
            </w:pPr>
            <w:r>
              <w:rPr>
                <w:rFonts w:ascii="Arial" w:cs="Arial" w:eastAsia="Arial" w:hAnsi="Arial"/>
                <w:sz w:val="15"/>
                <w:szCs w:val="15"/>
                <w:b w:val="1"/>
                <w:bCs w:val="1"/>
                <w:color w:val="auto"/>
                <w:w w:val="91"/>
              </w:rPr>
              <w:t>Benjamin Su, Esq.</w:t>
            </w:r>
          </w:p>
        </w:tc>
      </w:tr>
      <w:tr>
        <w:trPr>
          <w:trHeight w:val="161"/>
        </w:trPr>
        <w:tc>
          <w:tcPr>
            <w:tcW w:w="3360" w:type="dxa"/>
            <w:vAlign w:val="bottom"/>
          </w:tcPr>
          <w:p>
            <w:pPr>
              <w:jc w:val="center"/>
              <w:ind w:right="424"/>
              <w:spacing w:after="0" w:line="161" w:lineRule="exact"/>
              <w:rPr>
                <w:sz w:val="20"/>
                <w:szCs w:val="20"/>
                <w:color w:val="auto"/>
              </w:rPr>
            </w:pPr>
            <w:r>
              <w:rPr>
                <w:rFonts w:ascii="Arial" w:cs="Arial" w:eastAsia="Arial" w:hAnsi="Arial"/>
                <w:sz w:val="15"/>
                <w:szCs w:val="15"/>
                <w:b w:val="1"/>
                <w:bCs w:val="1"/>
                <w:color w:val="auto"/>
                <w:w w:val="95"/>
              </w:rPr>
              <w:t>Will Cai, Esq.</w:t>
            </w:r>
          </w:p>
        </w:tc>
        <w:tc>
          <w:tcPr>
            <w:tcW w:w="4740" w:type="dxa"/>
            <w:vAlign w:val="bottom"/>
          </w:tcPr>
          <w:p>
            <w:pPr>
              <w:jc w:val="center"/>
              <w:ind w:left="2504"/>
              <w:spacing w:after="0" w:line="161" w:lineRule="exact"/>
              <w:rPr>
                <w:sz w:val="20"/>
                <w:szCs w:val="20"/>
                <w:color w:val="auto"/>
              </w:rPr>
            </w:pPr>
            <w:r>
              <w:rPr>
                <w:rFonts w:ascii="Arial" w:cs="Arial" w:eastAsia="Arial" w:hAnsi="Arial"/>
                <w:sz w:val="15"/>
                <w:szCs w:val="15"/>
                <w:b w:val="1"/>
                <w:bCs w:val="1"/>
                <w:color w:val="auto"/>
                <w:w w:val="95"/>
              </w:rPr>
              <w:t>Ji Liu, Esq.</w:t>
            </w:r>
          </w:p>
        </w:tc>
      </w:tr>
      <w:tr>
        <w:trPr>
          <w:trHeight w:val="161"/>
        </w:trPr>
        <w:tc>
          <w:tcPr>
            <w:tcW w:w="3360" w:type="dxa"/>
            <w:vAlign w:val="bottom"/>
          </w:tcPr>
          <w:p>
            <w:pPr>
              <w:jc w:val="center"/>
              <w:ind w:right="404"/>
              <w:spacing w:after="0" w:line="161" w:lineRule="exact"/>
              <w:rPr>
                <w:sz w:val="20"/>
                <w:szCs w:val="20"/>
                <w:color w:val="auto"/>
              </w:rPr>
            </w:pPr>
            <w:r>
              <w:rPr>
                <w:rFonts w:ascii="Arial" w:cs="Arial" w:eastAsia="Arial" w:hAnsi="Arial"/>
                <w:sz w:val="15"/>
                <w:szCs w:val="15"/>
                <w:b w:val="1"/>
                <w:bCs w:val="1"/>
                <w:color w:val="auto"/>
                <w:w w:val="93"/>
              </w:rPr>
              <w:t>Skadden, Arps, Slate, Meagher &amp; Flom LLP</w:t>
            </w:r>
          </w:p>
        </w:tc>
        <w:tc>
          <w:tcPr>
            <w:tcW w:w="4740" w:type="dxa"/>
            <w:vAlign w:val="bottom"/>
          </w:tcPr>
          <w:p>
            <w:pPr>
              <w:jc w:val="center"/>
              <w:ind w:left="2504"/>
              <w:spacing w:after="0" w:line="161" w:lineRule="exact"/>
              <w:rPr>
                <w:sz w:val="20"/>
                <w:szCs w:val="20"/>
                <w:color w:val="auto"/>
              </w:rPr>
            </w:pPr>
            <w:r>
              <w:rPr>
                <w:rFonts w:ascii="Arial" w:cs="Arial" w:eastAsia="Arial" w:hAnsi="Arial"/>
                <w:sz w:val="15"/>
                <w:szCs w:val="15"/>
                <w:b w:val="1"/>
                <w:bCs w:val="1"/>
                <w:color w:val="auto"/>
                <w:w w:val="91"/>
              </w:rPr>
              <w:t>Daying Zhang, Esq.</w:t>
            </w:r>
          </w:p>
        </w:tc>
      </w:tr>
      <w:tr>
        <w:trPr>
          <w:trHeight w:val="161"/>
        </w:trPr>
        <w:tc>
          <w:tcPr>
            <w:tcW w:w="3360" w:type="dxa"/>
            <w:vAlign w:val="bottom"/>
          </w:tcPr>
          <w:p>
            <w:pPr>
              <w:jc w:val="center"/>
              <w:ind w:right="424"/>
              <w:spacing w:after="0" w:line="161" w:lineRule="exact"/>
              <w:rPr>
                <w:sz w:val="20"/>
                <w:szCs w:val="20"/>
                <w:color w:val="auto"/>
              </w:rPr>
            </w:pPr>
            <w:r>
              <w:rPr>
                <w:rFonts w:ascii="Arial" w:cs="Arial" w:eastAsia="Arial" w:hAnsi="Arial"/>
                <w:sz w:val="15"/>
                <w:szCs w:val="15"/>
                <w:b w:val="1"/>
                <w:bCs w:val="1"/>
                <w:color w:val="auto"/>
                <w:w w:val="93"/>
              </w:rPr>
              <w:t>c/o 42/F, Edinburgh Tower, The Landmark</w:t>
            </w:r>
          </w:p>
        </w:tc>
        <w:tc>
          <w:tcPr>
            <w:tcW w:w="4740" w:type="dxa"/>
            <w:vAlign w:val="bottom"/>
          </w:tcPr>
          <w:p>
            <w:pPr>
              <w:jc w:val="center"/>
              <w:ind w:left="2524"/>
              <w:spacing w:after="0" w:line="161" w:lineRule="exact"/>
              <w:rPr>
                <w:sz w:val="20"/>
                <w:szCs w:val="20"/>
                <w:color w:val="auto"/>
              </w:rPr>
            </w:pPr>
            <w:r>
              <w:rPr>
                <w:rFonts w:ascii="Arial" w:cs="Arial" w:eastAsia="Arial" w:hAnsi="Arial"/>
                <w:sz w:val="15"/>
                <w:szCs w:val="15"/>
                <w:b w:val="1"/>
                <w:bCs w:val="1"/>
                <w:color w:val="auto"/>
                <w:w w:val="96"/>
              </w:rPr>
              <w:t>Latham &amp; Watkins</w:t>
            </w:r>
          </w:p>
        </w:tc>
      </w:tr>
      <w:tr>
        <w:trPr>
          <w:trHeight w:val="161"/>
        </w:trPr>
        <w:tc>
          <w:tcPr>
            <w:tcW w:w="3360" w:type="dxa"/>
            <w:vAlign w:val="bottom"/>
          </w:tcPr>
          <w:p>
            <w:pPr>
              <w:jc w:val="center"/>
              <w:ind w:right="404"/>
              <w:spacing w:after="0" w:line="161" w:lineRule="exact"/>
              <w:rPr>
                <w:sz w:val="20"/>
                <w:szCs w:val="20"/>
                <w:color w:val="auto"/>
              </w:rPr>
            </w:pPr>
            <w:r>
              <w:rPr>
                <w:rFonts w:ascii="Arial" w:cs="Arial" w:eastAsia="Arial" w:hAnsi="Arial"/>
                <w:sz w:val="15"/>
                <w:szCs w:val="15"/>
                <w:b w:val="1"/>
                <w:bCs w:val="1"/>
                <w:color w:val="auto"/>
                <w:w w:val="92"/>
              </w:rPr>
              <w:t>15 Queen’s Road Central</w:t>
            </w:r>
          </w:p>
        </w:tc>
        <w:tc>
          <w:tcPr>
            <w:tcW w:w="4740" w:type="dxa"/>
            <w:vAlign w:val="bottom"/>
          </w:tcPr>
          <w:p>
            <w:pPr>
              <w:jc w:val="center"/>
              <w:ind w:left="2504"/>
              <w:spacing w:after="0" w:line="161" w:lineRule="exact"/>
              <w:rPr>
                <w:sz w:val="20"/>
                <w:szCs w:val="20"/>
                <w:color w:val="auto"/>
              </w:rPr>
            </w:pPr>
            <w:r>
              <w:rPr>
                <w:rFonts w:ascii="Arial" w:cs="Arial" w:eastAsia="Arial" w:hAnsi="Arial"/>
                <w:sz w:val="15"/>
                <w:szCs w:val="15"/>
                <w:b w:val="1"/>
                <w:bCs w:val="1"/>
                <w:color w:val="auto"/>
                <w:w w:val="91"/>
              </w:rPr>
              <w:t>18</w:t>
            </w:r>
            <w:r>
              <w:rPr>
                <w:rFonts w:ascii="Arial" w:cs="Arial" w:eastAsia="Arial" w:hAnsi="Arial"/>
                <w:sz w:val="12"/>
                <w:szCs w:val="12"/>
                <w:b w:val="1"/>
                <w:bCs w:val="1"/>
                <w:color w:val="auto"/>
                <w:w w:val="91"/>
              </w:rPr>
              <w:t>th</w:t>
            </w:r>
            <w:r>
              <w:rPr>
                <w:rFonts w:ascii="Arial" w:cs="Arial" w:eastAsia="Arial" w:hAnsi="Arial"/>
                <w:sz w:val="15"/>
                <w:szCs w:val="15"/>
                <w:b w:val="1"/>
                <w:bCs w:val="1"/>
                <w:color w:val="auto"/>
                <w:w w:val="91"/>
              </w:rPr>
              <w:t xml:space="preserve"> Floor, One Exchange Square</w:t>
            </w:r>
          </w:p>
        </w:tc>
      </w:tr>
      <w:tr>
        <w:trPr>
          <w:trHeight w:val="161"/>
        </w:trPr>
        <w:tc>
          <w:tcPr>
            <w:tcW w:w="3360" w:type="dxa"/>
            <w:vAlign w:val="bottom"/>
          </w:tcPr>
          <w:p>
            <w:pPr>
              <w:jc w:val="center"/>
              <w:ind w:right="424"/>
              <w:spacing w:after="0" w:line="161" w:lineRule="exact"/>
              <w:rPr>
                <w:sz w:val="20"/>
                <w:szCs w:val="20"/>
                <w:color w:val="auto"/>
              </w:rPr>
            </w:pPr>
            <w:r>
              <w:rPr>
                <w:rFonts w:ascii="Arial" w:cs="Arial" w:eastAsia="Arial" w:hAnsi="Arial"/>
                <w:sz w:val="15"/>
                <w:szCs w:val="15"/>
                <w:b w:val="1"/>
                <w:bCs w:val="1"/>
                <w:color w:val="auto"/>
                <w:w w:val="91"/>
              </w:rPr>
              <w:t>Hong Kong</w:t>
            </w:r>
          </w:p>
        </w:tc>
        <w:tc>
          <w:tcPr>
            <w:tcW w:w="4740" w:type="dxa"/>
            <w:vAlign w:val="bottom"/>
          </w:tcPr>
          <w:p>
            <w:pPr>
              <w:jc w:val="center"/>
              <w:ind w:left="2504"/>
              <w:spacing w:after="0" w:line="161" w:lineRule="exact"/>
              <w:rPr>
                <w:sz w:val="20"/>
                <w:szCs w:val="20"/>
                <w:color w:val="auto"/>
              </w:rPr>
            </w:pPr>
            <w:r>
              <w:rPr>
                <w:rFonts w:ascii="Arial" w:cs="Arial" w:eastAsia="Arial" w:hAnsi="Arial"/>
                <w:sz w:val="15"/>
                <w:szCs w:val="15"/>
                <w:b w:val="1"/>
                <w:bCs w:val="1"/>
                <w:color w:val="auto"/>
                <w:w w:val="91"/>
              </w:rPr>
              <w:t>8 Connaught Place</w:t>
            </w:r>
          </w:p>
        </w:tc>
      </w:tr>
      <w:tr>
        <w:trPr>
          <w:trHeight w:val="161"/>
        </w:trPr>
        <w:tc>
          <w:tcPr>
            <w:tcW w:w="3360" w:type="dxa"/>
            <w:vAlign w:val="bottom"/>
          </w:tcPr>
          <w:p>
            <w:pPr>
              <w:jc w:val="center"/>
              <w:ind w:right="424"/>
              <w:spacing w:after="0" w:line="161" w:lineRule="exact"/>
              <w:rPr>
                <w:sz w:val="20"/>
                <w:szCs w:val="20"/>
                <w:color w:val="auto"/>
              </w:rPr>
            </w:pPr>
            <w:r>
              <w:rPr>
                <w:rFonts w:ascii="Arial" w:cs="Arial" w:eastAsia="Arial" w:hAnsi="Arial"/>
                <w:sz w:val="15"/>
                <w:szCs w:val="15"/>
                <w:b w:val="1"/>
                <w:bCs w:val="1"/>
                <w:color w:val="auto"/>
                <w:w w:val="92"/>
              </w:rPr>
              <w:t>+852 3740-4700</w:t>
            </w:r>
          </w:p>
        </w:tc>
        <w:tc>
          <w:tcPr>
            <w:tcW w:w="4740" w:type="dxa"/>
            <w:vAlign w:val="bottom"/>
          </w:tcPr>
          <w:p>
            <w:pPr>
              <w:jc w:val="center"/>
              <w:ind w:left="2504"/>
              <w:spacing w:after="0" w:line="161" w:lineRule="exact"/>
              <w:rPr>
                <w:sz w:val="20"/>
                <w:szCs w:val="20"/>
                <w:color w:val="auto"/>
              </w:rPr>
            </w:pPr>
            <w:r>
              <w:rPr>
                <w:rFonts w:ascii="Arial" w:cs="Arial" w:eastAsia="Arial" w:hAnsi="Arial"/>
                <w:sz w:val="15"/>
                <w:szCs w:val="15"/>
                <w:b w:val="1"/>
                <w:bCs w:val="1"/>
                <w:color w:val="auto"/>
                <w:w w:val="93"/>
              </w:rPr>
              <w:t>Central, Hong Kong</w:t>
            </w:r>
          </w:p>
        </w:tc>
      </w:tr>
      <w:tr>
        <w:trPr>
          <w:trHeight w:val="196"/>
        </w:trPr>
        <w:tc>
          <w:tcPr>
            <w:tcW w:w="3360" w:type="dxa"/>
            <w:vAlign w:val="bottom"/>
          </w:tcPr>
          <w:p>
            <w:pPr>
              <w:spacing w:after="0"/>
              <w:rPr>
                <w:sz w:val="17"/>
                <w:szCs w:val="17"/>
                <w:color w:val="auto"/>
              </w:rPr>
            </w:pPr>
          </w:p>
        </w:tc>
        <w:tc>
          <w:tcPr>
            <w:tcW w:w="4740" w:type="dxa"/>
            <w:vAlign w:val="bottom"/>
          </w:tcPr>
          <w:p>
            <w:pPr>
              <w:jc w:val="center"/>
              <w:ind w:left="2504"/>
              <w:spacing w:after="0"/>
              <w:rPr>
                <w:sz w:val="20"/>
                <w:szCs w:val="20"/>
                <w:color w:val="auto"/>
              </w:rPr>
            </w:pPr>
            <w:r>
              <w:rPr>
                <w:rFonts w:ascii="Arial" w:cs="Arial" w:eastAsia="Arial" w:hAnsi="Arial"/>
                <w:sz w:val="15"/>
                <w:szCs w:val="15"/>
                <w:b w:val="1"/>
                <w:bCs w:val="1"/>
                <w:color w:val="auto"/>
                <w:w w:val="91"/>
              </w:rPr>
              <w:t>+852 2912-2500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142875</wp:posOffset>
            </wp:positionV>
            <wp:extent cx="1466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08"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Approximate date of commencement of proposed sale to the public:</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as soon as practicable after the effective date of this registration statement.</w:t>
      </w:r>
    </w:p>
    <w:p>
      <w:pPr>
        <w:spacing w:after="0" w:line="79" w:lineRule="exact"/>
        <w:rPr>
          <w:sz w:val="24"/>
          <w:szCs w:val="24"/>
          <w:color w:val="auto"/>
        </w:rPr>
      </w:pPr>
    </w:p>
    <w:p>
      <w:pPr>
        <w:ind w:left="240" w:right="420" w:firstLine="329"/>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1" w:lineRule="exact"/>
        <w:rPr>
          <w:sz w:val="24"/>
          <w:szCs w:val="24"/>
          <w:color w:val="auto"/>
        </w:rPr>
      </w:pPr>
    </w:p>
    <w:p>
      <w:pPr>
        <w:ind w:left="240" w:right="660" w:firstLine="32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1" w:lineRule="exact"/>
        <w:rPr>
          <w:sz w:val="24"/>
          <w:szCs w:val="24"/>
          <w:color w:val="auto"/>
        </w:rPr>
      </w:pPr>
    </w:p>
    <w:p>
      <w:pPr>
        <w:ind w:left="240" w:firstLine="32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1" w:lineRule="exact"/>
        <w:rPr>
          <w:sz w:val="24"/>
          <w:szCs w:val="24"/>
          <w:color w:val="auto"/>
        </w:rPr>
      </w:pPr>
    </w:p>
    <w:p>
      <w:pPr>
        <w:ind w:left="240" w:firstLine="32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1"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80"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5" w:lineRule="exact"/>
        <w:rPr>
          <w:sz w:val="24"/>
          <w:szCs w:val="24"/>
          <w:color w:val="auto"/>
        </w:rPr>
      </w:pPr>
    </w:p>
    <w:p>
      <w:pPr>
        <w:ind w:left="240" w:right="500" w:firstLine="329"/>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1" w:lineRule="exact"/>
        <w:rPr>
          <w:sz w:val="24"/>
          <w:szCs w:val="24"/>
          <w:color w:val="auto"/>
        </w:rPr>
      </w:pPr>
    </w:p>
    <w:p>
      <w:pPr>
        <w:ind w:left="240" w:right="240" w:hanging="4"/>
        <w:spacing w:after="0" w:line="250"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131445</wp:posOffset>
            </wp:positionV>
            <wp:extent cx="1466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ectPr>
          <w:pgSz w:w="11900" w:h="16838" w:orient="portrait"/>
          <w:cols w:equalWidth="0" w:num="1">
            <w:col w:w="11180"/>
          </w:cols>
          <w:pgMar w:left="240" w:top="229" w:right="47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6"/>
          <w:szCs w:val="16"/>
          <w:b w:val="1"/>
          <w:bCs w:val="1"/>
          <w:color w:val="auto"/>
        </w:rPr>
        <w:t>CALCULATION OF REGISTRATION FEE</w:t>
      </w:r>
    </w:p>
    <w:p>
      <w:pPr>
        <w:spacing w:after="0" w:line="92"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44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 securities</w:t>
            </w:r>
          </w:p>
        </w:tc>
        <w:tc>
          <w:tcPr>
            <w:tcW w:w="176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 maximum</w:t>
            </w:r>
          </w:p>
        </w:tc>
        <w:tc>
          <w:tcPr>
            <w:tcW w:w="17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4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ind w:left="31"/>
              <w:spacing w:after="0" w:line="143" w:lineRule="exact"/>
              <w:rPr>
                <w:sz w:val="20"/>
                <w:szCs w:val="20"/>
                <w:color w:val="auto"/>
              </w:rPr>
            </w:pPr>
            <w:r>
              <w:rPr>
                <w:rFonts w:ascii="Arial" w:cs="Arial" w:eastAsia="Arial" w:hAnsi="Arial"/>
                <w:sz w:val="14"/>
                <w:szCs w:val="14"/>
                <w:b w:val="1"/>
                <w:bCs w:val="1"/>
                <w:color w:val="auto"/>
                <w:w w:val="89"/>
              </w:rPr>
              <w:t>aggregate offering</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76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2"/>
              </w:rPr>
              <w:t>price</w:t>
            </w:r>
            <w:r>
              <w:rPr>
                <w:rFonts w:ascii="Arial" w:cs="Arial" w:eastAsia="Arial" w:hAnsi="Arial"/>
                <w:sz w:val="12"/>
                <w:szCs w:val="12"/>
                <w:b w:val="1"/>
                <w:bCs w:val="1"/>
                <w:color w:val="auto"/>
                <w:w w:val="92"/>
              </w:rPr>
              <w:t>(2)(3)</w:t>
            </w:r>
          </w:p>
        </w:tc>
        <w:tc>
          <w:tcPr>
            <w:tcW w:w="17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7440" w:type="dxa"/>
            <w:vAlign w:val="bottom"/>
            <w:tcBorders>
              <w:bottom w:val="single" w:sz="8" w:color="auto"/>
              <w:right w:val="single" w:sz="8" w:color="auto"/>
            </w:tcBorders>
          </w:tcPr>
          <w:p>
            <w:pPr>
              <w:spacing w:after="0" w:line="141" w:lineRule="exact"/>
              <w:rPr>
                <w:sz w:val="20"/>
                <w:szCs w:val="20"/>
                <w:color w:val="auto"/>
              </w:rPr>
            </w:pPr>
            <w:r>
              <w:rPr>
                <w:rFonts w:ascii="Arial" w:cs="Arial" w:eastAsia="Arial" w:hAnsi="Arial"/>
                <w:sz w:val="14"/>
                <w:szCs w:val="14"/>
                <w:color w:val="auto"/>
              </w:rPr>
              <w:t>Ordinary shares, par value US$0.00001 per share</w:t>
            </w:r>
            <w:r>
              <w:rPr>
                <w:rFonts w:ascii="Arial" w:cs="Arial" w:eastAsia="Arial" w:hAnsi="Arial"/>
                <w:sz w:val="12"/>
                <w:szCs w:val="12"/>
                <w:color w:val="auto"/>
              </w:rPr>
              <w:t>(1)(2)</w:t>
            </w:r>
          </w:p>
        </w:tc>
        <w:tc>
          <w:tcPr>
            <w:tcW w:w="1760" w:type="dxa"/>
            <w:vAlign w:val="bottom"/>
            <w:tcBorders>
              <w:bottom w:val="single" w:sz="8" w:color="auto"/>
              <w:right w:val="single" w:sz="8" w:color="auto"/>
            </w:tcBorders>
          </w:tcPr>
          <w:p>
            <w:pPr>
              <w:ind w:left="580"/>
              <w:spacing w:after="0" w:line="141" w:lineRule="exact"/>
              <w:rPr>
                <w:sz w:val="20"/>
                <w:szCs w:val="20"/>
                <w:color w:val="auto"/>
              </w:rPr>
            </w:pPr>
            <w:r>
              <w:rPr>
                <w:rFonts w:ascii="Arial" w:cs="Arial" w:eastAsia="Arial" w:hAnsi="Arial"/>
                <w:sz w:val="14"/>
                <w:szCs w:val="14"/>
                <w:color w:val="auto"/>
              </w:rPr>
              <w:t>US$</w:t>
            </w:r>
          </w:p>
        </w:tc>
        <w:tc>
          <w:tcPr>
            <w:tcW w:w="1740" w:type="dxa"/>
            <w:vAlign w:val="bottom"/>
            <w:tcBorders>
              <w:bottom w:val="single" w:sz="8" w:color="auto"/>
            </w:tcBorders>
          </w:tcPr>
          <w:p>
            <w:pPr>
              <w:ind w:left="580"/>
              <w:spacing w:after="0" w:line="141" w:lineRule="exact"/>
              <w:rPr>
                <w:sz w:val="20"/>
                <w:szCs w:val="20"/>
                <w:color w:val="auto"/>
              </w:rPr>
            </w:pPr>
            <w:r>
              <w:rPr>
                <w:rFonts w:ascii="Arial" w:cs="Arial" w:eastAsia="Arial" w:hAnsi="Arial"/>
                <w:sz w:val="14"/>
                <w:szCs w:val="14"/>
                <w:color w:val="auto"/>
              </w:rPr>
              <w:t>US$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4" w:hanging="324"/>
        <w:spacing w:after="0"/>
        <w:tabs>
          <w:tab w:leader="none" w:pos="324" w:val="left"/>
        </w:tabs>
        <w:numPr>
          <w:ilvl w:val="0"/>
          <w:numId w:val="2"/>
        </w:numPr>
        <w:rPr>
          <w:rFonts w:ascii="Arial" w:cs="Arial" w:eastAsia="Arial" w:hAnsi="Arial"/>
          <w:sz w:val="14"/>
          <w:szCs w:val="14"/>
          <w:color w:val="auto"/>
        </w:rPr>
      </w:pPr>
      <w:r>
        <w:rPr>
          <w:rFonts w:ascii="Arial" w:cs="Arial" w:eastAsia="Arial" w:hAnsi="Arial"/>
          <w:sz w:val="14"/>
          <w:szCs w:val="14"/>
          <w:color w:val="auto"/>
        </w:rPr>
        <w:t>American depositary shares issuable upon deposit of ordinary shares registered hereby will be registered under a separate registration statement on Form F-6 (Registration</w:t>
      </w:r>
    </w:p>
    <w:p>
      <w:pPr>
        <w:spacing w:after="0" w:line="129" w:lineRule="exact"/>
        <w:rPr>
          <w:sz w:val="20"/>
          <w:szCs w:val="20"/>
          <w:color w:val="auto"/>
        </w:rPr>
      </w:pPr>
    </w:p>
    <w:p>
      <w:pPr>
        <w:ind w:left="324" w:right="60" w:hanging="324"/>
        <w:spacing w:after="0" w:line="243" w:lineRule="auto"/>
        <w:tabs>
          <w:tab w:leader="none" w:pos="324"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ordinary shares that are issuable upon the exercise of the underwriters’ over-allotment option. Also includes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ordinary shares are not being registered for the purpose of sales outside the United States.</w:t>
      </w:r>
    </w:p>
    <w:p>
      <w:pPr>
        <w:spacing w:after="0" w:line="1" w:lineRule="exact"/>
        <w:rPr>
          <w:rFonts w:ascii="Arial" w:cs="Arial" w:eastAsia="Arial" w:hAnsi="Arial"/>
          <w:sz w:val="13"/>
          <w:szCs w:val="13"/>
          <w:color w:val="auto"/>
        </w:rPr>
      </w:pPr>
    </w:p>
    <w:p>
      <w:pPr>
        <w:ind w:left="324" w:hanging="324"/>
        <w:spacing w:after="0"/>
        <w:tabs>
          <w:tab w:leader="none" w:pos="324"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registration fee in accordance with Rule 457(o)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140970</wp:posOffset>
            </wp:positionV>
            <wp:extent cx="1466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00" w:lineRule="exact"/>
        <w:rPr>
          <w:sz w:val="20"/>
          <w:szCs w:val="20"/>
          <w:color w:val="auto"/>
        </w:rPr>
      </w:pPr>
    </w:p>
    <w:p>
      <w:pPr>
        <w:ind w:left="4" w:right="140"/>
        <w:spacing w:after="0" w:line="266"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6957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76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wp:posOffset>
            </wp:positionV>
            <wp:extent cx="6957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57695" cy="8255"/>
                    </a:xfrm>
                    <a:prstGeom prst="rect">
                      <a:avLst/>
                    </a:prstGeom>
                    <a:noFill/>
                  </pic:spPr>
                </pic:pic>
              </a:graphicData>
            </a:graphic>
          </wp:anchor>
        </w:drawing>
      </w:r>
    </w:p>
    <w:p>
      <w:pPr>
        <w:sectPr>
          <w:pgSz w:w="11900" w:h="16838" w:orient="portrait"/>
          <w:cols w:equalWidth="0" w:num="1">
            <w:col w:w="10964"/>
          </w:cols>
          <w:pgMar w:left="476" w:top="126"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40" w:right="100"/>
        <w:spacing w:after="0" w:line="312" w:lineRule="auto"/>
        <w:rPr>
          <w:sz w:val="20"/>
          <w:szCs w:val="20"/>
          <w:color w:val="auto"/>
        </w:rPr>
      </w:pPr>
      <w:r>
        <w:rPr>
          <w:rFonts w:ascii="Arial" w:cs="Arial" w:eastAsia="Arial" w:hAnsi="Arial"/>
          <w:sz w:val="16"/>
          <w:szCs w:val="16"/>
          <w:b w:val="1"/>
          <w:bCs w:val="1"/>
          <w:color w:val="EB0029"/>
        </w:rPr>
        <w:t>The information in this preliminary prospectus is not complete and may be changed. We [and the selling shareholders]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79" w:lineRule="exact"/>
        <w:rPr>
          <w:sz w:val="20"/>
          <w:szCs w:val="20"/>
          <w:color w:val="auto"/>
        </w:rPr>
      </w:pPr>
    </w:p>
    <w:tbl>
      <w:tblPr>
        <w:tblLayout w:type="fixed"/>
        <w:tblInd w:w="3320" w:type="dxa"/>
        <w:tblCellMar>
          <w:top w:w="0" w:type="dxa"/>
          <w:left w:w="0" w:type="dxa"/>
          <w:bottom w:w="0" w:type="dxa"/>
          <w:right w:w="0" w:type="dxa"/>
        </w:tblCellMar>
      </w:tblPr>
      <w:tr>
        <w:trPr>
          <w:trHeight w:val="229"/>
        </w:trPr>
        <w:tc>
          <w:tcPr>
            <w:tcW w:w="3840" w:type="dxa"/>
            <w:vAlign w:val="bottom"/>
          </w:tcPr>
          <w:p>
            <w:pPr>
              <w:spacing w:after="0"/>
              <w:rPr>
                <w:sz w:val="20"/>
                <w:szCs w:val="20"/>
                <w:color w:val="auto"/>
              </w:rPr>
            </w:pPr>
            <w:r>
              <w:rPr>
                <w:rFonts w:ascii="Arial" w:cs="Arial" w:eastAsia="Arial" w:hAnsi="Arial"/>
                <w:sz w:val="18"/>
                <w:szCs w:val="18"/>
                <w:color w:val="EB0029"/>
              </w:rPr>
              <w:t>PROSPECTUS (Subject to Completion) Issued</w:t>
            </w:r>
          </w:p>
        </w:tc>
        <w:tc>
          <w:tcPr>
            <w:tcW w:w="940" w:type="dxa"/>
            <w:vAlign w:val="bottom"/>
          </w:tcPr>
          <w:p>
            <w:pPr>
              <w:jc w:val="right"/>
              <w:spacing w:after="0"/>
              <w:rPr>
                <w:sz w:val="20"/>
                <w:szCs w:val="20"/>
                <w:color w:val="auto"/>
              </w:rPr>
            </w:pPr>
            <w:r>
              <w:rPr>
                <w:rFonts w:ascii="Arial" w:cs="Arial" w:eastAsia="Arial" w:hAnsi="Arial"/>
                <w:sz w:val="18"/>
                <w:szCs w:val="18"/>
                <w:color w:val="EB0029"/>
              </w:rPr>
              <w:t>, 2018.</w:t>
            </w:r>
          </w:p>
        </w:tc>
      </w:tr>
    </w:tbl>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22860</wp:posOffset>
            </wp:positionV>
            <wp:extent cx="2276475" cy="537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6475"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Futu Holdings Limited</w:t>
      </w:r>
    </w:p>
    <w:p>
      <w:pPr>
        <w:spacing w:after="0" w:line="238" w:lineRule="exact"/>
        <w:rPr>
          <w:sz w:val="20"/>
          <w:szCs w:val="20"/>
          <w:color w:val="auto"/>
        </w:rPr>
      </w:pPr>
    </w:p>
    <w:tbl>
      <w:tblPr>
        <w:tblLayout w:type="fixed"/>
        <w:tblInd w:w="240" w:type="dxa"/>
        <w:tblCellMar>
          <w:top w:w="0" w:type="dxa"/>
          <w:left w:w="0" w:type="dxa"/>
          <w:bottom w:w="0" w:type="dxa"/>
          <w:right w:w="0" w:type="dxa"/>
        </w:tblCellMar>
      </w:tblPr>
      <w:tr>
        <w:trPr>
          <w:trHeight w:val="325"/>
        </w:trPr>
        <w:tc>
          <w:tcPr>
            <w:tcW w:w="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120" w:type="dxa"/>
            <w:vAlign w:val="bottom"/>
            <w:gridSpan w:val="2"/>
          </w:tcPr>
          <w:p>
            <w:pPr>
              <w:ind w:left="260"/>
              <w:spacing w:after="0"/>
              <w:rPr>
                <w:sz w:val="20"/>
                <w:szCs w:val="20"/>
                <w:color w:val="auto"/>
              </w:rPr>
            </w:pPr>
            <w:r>
              <w:rPr>
                <w:rFonts w:ascii="Arial" w:cs="Arial" w:eastAsia="Arial" w:hAnsi="Arial"/>
                <w:sz w:val="25"/>
                <w:szCs w:val="25"/>
                <w:b w:val="1"/>
                <w:bCs w:val="1"/>
                <w:color w:val="auto"/>
              </w:rPr>
              <w:t>Representing</w:t>
            </w:r>
          </w:p>
        </w:tc>
        <w:tc>
          <w:tcPr>
            <w:tcW w:w="5040" w:type="dxa"/>
            <w:vAlign w:val="bottom"/>
            <w:gridSpan w:val="2"/>
          </w:tcPr>
          <w:p>
            <w:pPr>
              <w:ind w:left="440"/>
              <w:spacing w:after="0"/>
              <w:rPr>
                <w:sz w:val="20"/>
                <w:szCs w:val="20"/>
                <w:color w:val="auto"/>
              </w:rPr>
            </w:pPr>
            <w:r>
              <w:rPr>
                <w:rFonts w:ascii="Arial" w:cs="Arial" w:eastAsia="Arial" w:hAnsi="Arial"/>
                <w:sz w:val="25"/>
                <w:szCs w:val="25"/>
                <w:b w:val="1"/>
                <w:bCs w:val="1"/>
                <w:color w:val="auto"/>
              </w:rPr>
              <w:t>Ordinary Shares</w:t>
            </w:r>
          </w:p>
        </w:tc>
        <w:tc>
          <w:tcPr>
            <w:tcW w:w="560" w:type="dxa"/>
            <w:vAlign w:val="bottom"/>
          </w:tcPr>
          <w:p>
            <w:pPr>
              <w:spacing w:after="0"/>
              <w:rPr>
                <w:sz w:val="24"/>
                <w:szCs w:val="24"/>
                <w:color w:val="auto"/>
              </w:rPr>
            </w:pPr>
          </w:p>
        </w:tc>
      </w:tr>
      <w:tr>
        <w:trPr>
          <w:trHeight w:val="356"/>
        </w:trPr>
        <w:tc>
          <w:tcPr>
            <w:tcW w:w="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3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9"/>
        </w:trPr>
        <w:tc>
          <w:tcPr>
            <w:tcW w:w="380" w:type="dxa"/>
            <w:vAlign w:val="bottom"/>
          </w:tcPr>
          <w:p>
            <w:pPr>
              <w:spacing w:after="0"/>
              <w:rPr>
                <w:sz w:val="24"/>
                <w:szCs w:val="24"/>
                <w:color w:val="auto"/>
              </w:rPr>
            </w:pPr>
          </w:p>
        </w:tc>
        <w:tc>
          <w:tcPr>
            <w:tcW w:w="2780" w:type="dxa"/>
            <w:vAlign w:val="bottom"/>
          </w:tcPr>
          <w:p>
            <w:pPr>
              <w:ind w:left="60"/>
              <w:spacing w:after="0"/>
              <w:rPr>
                <w:sz w:val="20"/>
                <w:szCs w:val="20"/>
                <w:color w:val="auto"/>
              </w:rPr>
            </w:pPr>
            <w:r>
              <w:rPr>
                <w:rFonts w:ascii="Arial" w:cs="Arial" w:eastAsia="Arial" w:hAnsi="Arial"/>
                <w:sz w:val="18"/>
                <w:szCs w:val="18"/>
                <w:color w:val="auto"/>
              </w:rPr>
              <w:t>This is an initial public offering of</w:t>
            </w:r>
          </w:p>
        </w:tc>
        <w:tc>
          <w:tcPr>
            <w:tcW w:w="7160" w:type="dxa"/>
            <w:vAlign w:val="bottom"/>
            <w:gridSpan w:val="4"/>
          </w:tcPr>
          <w:p>
            <w:pPr>
              <w:ind w:left="360"/>
              <w:spacing w:after="0"/>
              <w:rPr>
                <w:sz w:val="20"/>
                <w:szCs w:val="20"/>
                <w:color w:val="auto"/>
              </w:rPr>
            </w:pPr>
            <w:r>
              <w:rPr>
                <w:rFonts w:ascii="Arial" w:cs="Arial" w:eastAsia="Arial" w:hAnsi="Arial"/>
                <w:sz w:val="18"/>
                <w:szCs w:val="18"/>
                <w:color w:val="auto"/>
                <w:w w:val="98"/>
              </w:rPr>
              <w:t>American depositary shares, or ADSs, by Futu Holdings Limited. Each ADS represents</w:t>
            </w:r>
          </w:p>
        </w:tc>
        <w:tc>
          <w:tcPr>
            <w:tcW w:w="560" w:type="dxa"/>
            <w:vAlign w:val="bottom"/>
          </w:tcPr>
          <w:p>
            <w:pPr>
              <w:spacing w:after="0"/>
              <w:rPr>
                <w:sz w:val="24"/>
                <w:szCs w:val="24"/>
                <w:color w:val="auto"/>
              </w:rPr>
            </w:pPr>
          </w:p>
        </w:tc>
      </w:tr>
      <w:tr>
        <w:trPr>
          <w:trHeight w:val="215"/>
        </w:trPr>
        <w:tc>
          <w:tcPr>
            <w:tcW w:w="10320" w:type="dxa"/>
            <w:vAlign w:val="bottom"/>
            <w:gridSpan w:val="6"/>
          </w:tcPr>
          <w:p>
            <w:pPr>
              <w:spacing w:after="0"/>
              <w:rPr>
                <w:sz w:val="20"/>
                <w:szCs w:val="20"/>
                <w:color w:val="auto"/>
              </w:rPr>
            </w:pPr>
            <w:r>
              <w:rPr>
                <w:rFonts w:ascii="Arial" w:cs="Arial" w:eastAsia="Arial" w:hAnsi="Arial"/>
                <w:sz w:val="18"/>
                <w:szCs w:val="18"/>
                <w:color w:val="auto"/>
                <w:w w:val="93"/>
              </w:rPr>
              <w:t>ordinary shares, par value US$0.00001 per share. It is currently estimated that the initial public offering price per ADS will be between US$</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and</w:t>
            </w: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940" w:type="dxa"/>
            <w:vAlign w:val="bottom"/>
            <w:gridSpan w:val="5"/>
          </w:tcPr>
          <w:p>
            <w:pPr>
              <w:ind w:left="480"/>
              <w:spacing w:after="0"/>
              <w:rPr>
                <w:sz w:val="20"/>
                <w:szCs w:val="20"/>
                <w:color w:val="auto"/>
              </w:rPr>
            </w:pPr>
            <w:r>
              <w:rPr>
                <w:rFonts w:ascii="Arial" w:cs="Arial" w:eastAsia="Arial" w:hAnsi="Arial"/>
                <w:sz w:val="18"/>
                <w:szCs w:val="18"/>
                <w:color w:val="auto"/>
              </w:rPr>
              <w:t>. [We will not receive any proceeds from the ADSs sold by the selling shareholders.]</w:t>
            </w:r>
          </w:p>
        </w:tc>
        <w:tc>
          <w:tcPr>
            <w:tcW w:w="560" w:type="dxa"/>
            <w:vAlign w:val="bottom"/>
          </w:tcPr>
          <w:p>
            <w:pPr>
              <w:spacing w:after="0"/>
              <w:rPr>
                <w:sz w:val="19"/>
                <w:szCs w:val="19"/>
                <w:color w:val="auto"/>
              </w:rPr>
            </w:pPr>
          </w:p>
        </w:tc>
      </w:tr>
    </w:tbl>
    <w:p>
      <w:pPr>
        <w:spacing w:after="0" w:line="200" w:lineRule="exact"/>
        <w:rPr>
          <w:sz w:val="20"/>
          <w:szCs w:val="20"/>
          <w:color w:val="auto"/>
        </w:rPr>
      </w:pPr>
    </w:p>
    <w:p>
      <w:pPr>
        <w:ind w:left="240" w:right="200" w:firstLine="438"/>
        <w:spacing w:after="0" w:line="275" w:lineRule="auto"/>
        <w:rPr>
          <w:sz w:val="20"/>
          <w:szCs w:val="20"/>
          <w:color w:val="auto"/>
        </w:rPr>
      </w:pPr>
      <w:r>
        <w:rPr>
          <w:rFonts w:ascii="Arial" w:cs="Arial" w:eastAsia="Arial" w:hAnsi="Arial"/>
          <w:sz w:val="18"/>
          <w:szCs w:val="18"/>
          <w:color w:val="auto"/>
        </w:rPr>
        <w:t>Prior to this offering, there has been no public market for the ADSs or our ordinary shares. We intend to apply for the listing of our ADSs on the Nasdaq Global Market under the symbol “FHL.”</w:t>
      </w:r>
    </w:p>
    <w:p>
      <w:pPr>
        <w:spacing w:after="0" w:line="170" w:lineRule="exact"/>
        <w:rPr>
          <w:sz w:val="20"/>
          <w:szCs w:val="20"/>
          <w:color w:val="auto"/>
        </w:rPr>
      </w:pPr>
    </w:p>
    <w:p>
      <w:pPr>
        <w:ind w:left="240" w:right="560" w:firstLine="438"/>
        <w:spacing w:after="0" w:line="275" w:lineRule="auto"/>
        <w:rPr>
          <w:sz w:val="20"/>
          <w:szCs w:val="20"/>
          <w:color w:val="auto"/>
        </w:rPr>
      </w:pPr>
      <w:r>
        <w:rPr>
          <w:rFonts w:ascii="Arial" w:cs="Arial" w:eastAsia="Arial" w:hAnsi="Arial"/>
          <w:sz w:val="18"/>
          <w:szCs w:val="18"/>
          <w:color w:val="auto"/>
        </w:rPr>
        <w:t>We are an “emerging growth company” under applicable U.S. federal securities laws and are eligible for reduced public company reporting requirements.</w:t>
      </w:r>
    </w:p>
    <w:p>
      <w:pPr>
        <w:spacing w:after="0" w:line="163" w:lineRule="exact"/>
        <w:rPr>
          <w:sz w:val="20"/>
          <w:szCs w:val="20"/>
          <w:color w:val="auto"/>
        </w:rPr>
      </w:pPr>
    </w:p>
    <w:p>
      <w:pPr>
        <w:ind w:left="680"/>
        <w:spacing w:after="0"/>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See “</w:t>
      </w:r>
      <w:hyperlink w:anchor="page18">
        <w:r>
          <w:rPr>
            <w:rFonts w:ascii="Arial" w:cs="Arial" w:eastAsia="Arial" w:hAnsi="Arial"/>
            <w:sz w:val="21"/>
            <w:szCs w:val="21"/>
            <w:b w:val="1"/>
            <w:bCs w:val="1"/>
            <w:i w:val="1"/>
            <w:iCs w:val="1"/>
            <w:u w:val="single" w:color="auto"/>
            <w:color w:val="0000EE"/>
          </w:rPr>
          <w:t>Risk Factors</w:t>
        </w:r>
      </w:hyperlink>
      <w:r>
        <w:rPr>
          <w:rFonts w:ascii="Arial" w:cs="Arial" w:eastAsia="Arial" w:hAnsi="Arial"/>
          <w:sz w:val="21"/>
          <w:szCs w:val="21"/>
          <w:b w:val="1"/>
          <w:bCs w:val="1"/>
          <w:i w:val="1"/>
          <w:iCs w:val="1"/>
          <w:color w:val="auto"/>
        </w:rPr>
        <w:t>” beginning on page 13 for factors you should consider before investing in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235585</wp:posOffset>
            </wp:positionV>
            <wp:extent cx="14662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4440"/>
        <w:spacing w:after="0"/>
        <w:tabs>
          <w:tab w:leader="none" w:pos="6240" w:val="left"/>
        </w:tabs>
        <w:rPr>
          <w:sz w:val="20"/>
          <w:szCs w:val="20"/>
          <w:color w:val="auto"/>
        </w:rPr>
      </w:pPr>
      <w:r>
        <w:rPr>
          <w:rFonts w:ascii="Arial" w:cs="Arial" w:eastAsia="Arial" w:hAnsi="Arial"/>
          <w:sz w:val="18"/>
          <w:szCs w:val="18"/>
          <w:color w:val="auto"/>
        </w:rPr>
        <w:t>PRICE US$</w:t>
      </w:r>
      <w:r>
        <w:rPr>
          <w:sz w:val="20"/>
          <w:szCs w:val="20"/>
          <w:color w:val="auto"/>
        </w:rPr>
        <w:tab/>
      </w:r>
      <w:r>
        <w:rPr>
          <w:rFonts w:ascii="Arial" w:cs="Arial" w:eastAsia="Arial" w:hAnsi="Arial"/>
          <w:sz w:val="16"/>
          <w:szCs w:val="16"/>
          <w:color w:val="auto"/>
        </w:rPr>
        <w:t>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235585</wp:posOffset>
            </wp:positionV>
            <wp:extent cx="14662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240" w:right="120"/>
        <w:spacing w:after="0" w:line="310" w:lineRule="auto"/>
        <w:rPr>
          <w:sz w:val="20"/>
          <w:szCs w:val="20"/>
          <w:color w:val="auto"/>
        </w:rPr>
      </w:pPr>
      <w:r>
        <w:rPr>
          <w:rFonts w:ascii="Arial" w:cs="Arial" w:eastAsia="Arial" w:hAnsi="Arial"/>
          <w:sz w:val="17"/>
          <w:szCs w:val="17"/>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14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Price to Public</w:t>
            </w: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Underwriting Discounts</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Proceeds to us</w:t>
            </w: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and Commissions</w:t>
            </w:r>
            <w:r>
              <w:rPr>
                <w:rFonts w:ascii="Arial" w:cs="Arial" w:eastAsia="Arial" w:hAnsi="Arial"/>
                <w:sz w:val="12"/>
                <w:szCs w:val="12"/>
                <w:b w:val="1"/>
                <w:bCs w:val="1"/>
                <w:color w:val="auto"/>
              </w:rPr>
              <w:t>(1)</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2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4380" w:type="dxa"/>
            <w:vAlign w:val="bottom"/>
            <w:gridSpan w:val="3"/>
          </w:tcPr>
          <w:p>
            <w:pPr>
              <w:ind w:left="2520"/>
              <w:spacing w:after="0"/>
              <w:rPr>
                <w:sz w:val="20"/>
                <w:szCs w:val="20"/>
                <w:color w:val="auto"/>
              </w:rPr>
            </w:pPr>
            <w:r>
              <w:rPr>
                <w:rFonts w:ascii="Arial" w:cs="Arial" w:eastAsia="Arial" w:hAnsi="Arial"/>
                <w:sz w:val="18"/>
                <w:szCs w:val="18"/>
                <w:color w:val="auto"/>
              </w:rPr>
              <w:t>US$</w:t>
            </w:r>
          </w:p>
        </w:tc>
        <w:tc>
          <w:tcPr>
            <w:tcW w:w="2440" w:type="dxa"/>
            <w:vAlign w:val="bottom"/>
            <w:gridSpan w:val="2"/>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76200</wp:posOffset>
            </wp:positionV>
            <wp:extent cx="699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139" w:lineRule="exact"/>
        <w:rPr>
          <w:sz w:val="20"/>
          <w:szCs w:val="20"/>
          <w:color w:val="auto"/>
        </w:rPr>
      </w:pPr>
    </w:p>
    <w:p>
      <w:pPr>
        <w:ind w:left="660" w:hanging="42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compensation payable by us.</w:t>
      </w:r>
    </w:p>
    <w:p>
      <w:pPr>
        <w:spacing w:after="0" w:line="223" w:lineRule="exact"/>
        <w:rPr>
          <w:sz w:val="20"/>
          <w:szCs w:val="20"/>
          <w:color w:val="auto"/>
        </w:rPr>
      </w:pPr>
    </w:p>
    <w:p>
      <w:pPr>
        <w:ind w:left="240" w:right="80" w:firstLine="438"/>
        <w:spacing w:after="0" w:line="275" w:lineRule="auto"/>
        <w:rPr>
          <w:sz w:val="20"/>
          <w:szCs w:val="20"/>
          <w:color w:val="auto"/>
        </w:rPr>
      </w:pPr>
      <w:r>
        <w:rPr>
          <w:rFonts w:ascii="Arial" w:cs="Arial" w:eastAsia="Arial" w:hAnsi="Arial"/>
          <w:sz w:val="18"/>
          <w:szCs w:val="18"/>
          <w:color w:val="auto"/>
        </w:rPr>
        <w:t>We [and the selling shareholders] have granted the underwriters the right to purchase up to an additional ADSs to cover over-allotments within 30 days after the date of this prospectus.</w:t>
      </w:r>
    </w:p>
    <w:p>
      <w:pPr>
        <w:spacing w:after="0" w:line="170" w:lineRule="exact"/>
        <w:rPr>
          <w:sz w:val="20"/>
          <w:szCs w:val="20"/>
          <w:color w:val="auto"/>
        </w:rPr>
      </w:pPr>
    </w:p>
    <w:tbl>
      <w:tblPr>
        <w:tblLayout w:type="fixed"/>
        <w:tblInd w:w="680" w:type="dxa"/>
        <w:tblCellMar>
          <w:top w:w="0" w:type="dxa"/>
          <w:left w:w="0" w:type="dxa"/>
          <w:bottom w:w="0" w:type="dxa"/>
          <w:right w:w="0" w:type="dxa"/>
        </w:tblCellMar>
      </w:tblPr>
      <w:tr>
        <w:trPr>
          <w:trHeight w:val="229"/>
        </w:trPr>
        <w:tc>
          <w:tcPr>
            <w:tcW w:w="8920" w:type="dxa"/>
            <w:vAlign w:val="bottom"/>
            <w:gridSpan w:val="4"/>
          </w:tcPr>
          <w:p>
            <w:pPr>
              <w:jc w:val="right"/>
              <w:ind w:right="702"/>
              <w:spacing w:after="0"/>
              <w:rPr>
                <w:sz w:val="20"/>
                <w:szCs w:val="20"/>
                <w:color w:val="auto"/>
              </w:rPr>
            </w:pPr>
            <w:r>
              <w:rPr>
                <w:rFonts w:ascii="Arial" w:cs="Arial" w:eastAsia="Arial" w:hAnsi="Arial"/>
                <w:sz w:val="18"/>
                <w:szCs w:val="18"/>
                <w:color w:val="auto"/>
                <w:w w:val="90"/>
              </w:rPr>
              <w:t>The underwriters expect to deliver the ADSs against payment in U.S. dollars in New York, New York on or about</w:t>
            </w:r>
          </w:p>
        </w:tc>
        <w:tc>
          <w:tcPr>
            <w:tcW w:w="640" w:type="dxa"/>
            <w:vAlign w:val="bottom"/>
          </w:tcPr>
          <w:p>
            <w:pPr>
              <w:jc w:val="right"/>
              <w:spacing w:after="0"/>
              <w:rPr>
                <w:sz w:val="20"/>
                <w:szCs w:val="20"/>
                <w:color w:val="auto"/>
              </w:rPr>
            </w:pPr>
            <w:r>
              <w:rPr>
                <w:rFonts w:ascii="Arial" w:cs="Arial" w:eastAsia="Arial" w:hAnsi="Arial"/>
                <w:sz w:val="18"/>
                <w:szCs w:val="18"/>
                <w:color w:val="auto"/>
              </w:rPr>
              <w:t>, 2018.</w:t>
            </w:r>
          </w:p>
        </w:tc>
      </w:tr>
      <w:tr>
        <w:trPr>
          <w:trHeight w:val="474"/>
        </w:trPr>
        <w:tc>
          <w:tcPr>
            <w:tcW w:w="5400" w:type="dxa"/>
            <w:vAlign w:val="bottom"/>
            <w:gridSpan w:val="2"/>
          </w:tcPr>
          <w:p>
            <w:pPr>
              <w:ind w:left="1060"/>
              <w:spacing w:after="0"/>
              <w:rPr>
                <w:sz w:val="20"/>
                <w:szCs w:val="20"/>
                <w:color w:val="auto"/>
              </w:rPr>
            </w:pPr>
            <w:r>
              <w:rPr>
                <w:rFonts w:ascii="Arial" w:cs="Arial" w:eastAsia="Arial" w:hAnsi="Arial"/>
                <w:sz w:val="20"/>
                <w:szCs w:val="20"/>
                <w:b w:val="1"/>
                <w:bCs w:val="1"/>
                <w:color w:val="auto"/>
              </w:rPr>
              <w:t>Goldman Sachs (Asia) L.L.C.</w:t>
            </w:r>
          </w:p>
        </w:tc>
        <w:tc>
          <w:tcPr>
            <w:tcW w:w="780" w:type="dxa"/>
            <w:vAlign w:val="bottom"/>
          </w:tcPr>
          <w:p>
            <w:pPr>
              <w:spacing w:after="0"/>
              <w:rPr>
                <w:sz w:val="24"/>
                <w:szCs w:val="24"/>
                <w:color w:val="auto"/>
              </w:rPr>
            </w:pPr>
          </w:p>
        </w:tc>
        <w:tc>
          <w:tcPr>
            <w:tcW w:w="2740" w:type="dxa"/>
            <w:vAlign w:val="bottom"/>
          </w:tcPr>
          <w:p>
            <w:pPr>
              <w:jc w:val="right"/>
              <w:ind w:right="62"/>
              <w:spacing w:after="0"/>
              <w:rPr>
                <w:sz w:val="20"/>
                <w:szCs w:val="20"/>
                <w:color w:val="auto"/>
              </w:rPr>
            </w:pPr>
            <w:r>
              <w:rPr>
                <w:rFonts w:ascii="Arial" w:cs="Arial" w:eastAsia="Arial" w:hAnsi="Arial"/>
                <w:sz w:val="20"/>
                <w:szCs w:val="20"/>
                <w:b w:val="1"/>
                <w:bCs w:val="1"/>
                <w:color w:val="auto"/>
              </w:rPr>
              <w:t>UBS Investment Bank</w:t>
            </w:r>
          </w:p>
        </w:tc>
        <w:tc>
          <w:tcPr>
            <w:tcW w:w="640" w:type="dxa"/>
            <w:vAlign w:val="bottom"/>
          </w:tcPr>
          <w:p>
            <w:pPr>
              <w:spacing w:after="0"/>
              <w:rPr>
                <w:sz w:val="24"/>
                <w:szCs w:val="24"/>
                <w:color w:val="auto"/>
              </w:rPr>
            </w:pPr>
          </w:p>
        </w:tc>
      </w:tr>
      <w:tr>
        <w:trPr>
          <w:trHeight w:val="345"/>
        </w:trPr>
        <w:tc>
          <w:tcPr>
            <w:tcW w:w="38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23"/>
        </w:trPr>
        <w:tc>
          <w:tcPr>
            <w:tcW w:w="5400" w:type="dxa"/>
            <w:vAlign w:val="bottom"/>
            <w:gridSpan w:val="2"/>
          </w:tcPr>
          <w:p>
            <w:pPr>
              <w:ind w:left="3720"/>
              <w:spacing w:after="0"/>
              <w:rPr>
                <w:sz w:val="20"/>
                <w:szCs w:val="20"/>
                <w:color w:val="auto"/>
              </w:rPr>
            </w:pPr>
            <w:r>
              <w:rPr>
                <w:rFonts w:ascii="Arial" w:cs="Arial" w:eastAsia="Arial" w:hAnsi="Arial"/>
                <w:sz w:val="18"/>
                <w:szCs w:val="18"/>
                <w:color w:val="auto"/>
              </w:rPr>
              <w:t>Prospectus dated</w:t>
            </w:r>
          </w:p>
        </w:tc>
        <w:tc>
          <w:tcPr>
            <w:tcW w:w="3520" w:type="dxa"/>
            <w:vAlign w:val="bottom"/>
            <w:gridSpan w:val="2"/>
          </w:tcPr>
          <w:p>
            <w:pPr>
              <w:jc w:val="right"/>
              <w:ind w:right="2462"/>
              <w:spacing w:after="0"/>
              <w:rPr>
                <w:sz w:val="20"/>
                <w:szCs w:val="20"/>
                <w:color w:val="auto"/>
              </w:rPr>
            </w:pPr>
            <w:r>
              <w:rPr>
                <w:rFonts w:ascii="Arial" w:cs="Arial" w:eastAsia="Arial" w:hAnsi="Arial"/>
                <w:sz w:val="18"/>
                <w:szCs w:val="18"/>
                <w:color w:val="auto"/>
              </w:rPr>
              <w:t>, 2018.</w:t>
            </w:r>
          </w:p>
        </w:tc>
        <w:tc>
          <w:tcPr>
            <w:tcW w:w="640" w:type="dxa"/>
            <w:vAlign w:val="bottom"/>
          </w:tcPr>
          <w:p>
            <w:pPr>
              <w:spacing w:after="0"/>
              <w:rPr>
                <w:sz w:val="24"/>
                <w:szCs w:val="24"/>
                <w:color w:val="auto"/>
              </w:rPr>
            </w:pPr>
          </w:p>
        </w:tc>
      </w:tr>
    </w:tbl>
    <w:p>
      <w:pPr>
        <w:sectPr>
          <w:pgSz w:w="11900" w:h="16838" w:orient="portrait"/>
          <w:cols w:equalWidth="0" w:num="1">
            <w:col w:w="11200"/>
          </w:cols>
          <w:pgMar w:left="240" w:top="457"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2879"/>
        <w:spacing w:after="0"/>
        <w:rPr>
          <w:sz w:val="20"/>
          <w:szCs w:val="20"/>
          <w:color w:val="auto"/>
        </w:rPr>
      </w:pPr>
      <w:r>
        <w:rPr>
          <w:rFonts w:ascii="Arial" w:cs="Arial" w:eastAsia="Arial" w:hAnsi="Arial"/>
          <w:sz w:val="18"/>
          <w:szCs w:val="18"/>
          <w:b w:val="1"/>
          <w:bCs w:val="1"/>
          <w:color w:val="auto"/>
        </w:rPr>
        <w:t>[Page intentionally left blank for graphics]</w:t>
      </w:r>
    </w:p>
    <w:p>
      <w:pPr>
        <w:sectPr>
          <w:pgSz w:w="11900" w:h="16838" w:orient="portrait"/>
          <w:cols w:equalWidth="0" w:num="1">
            <w:col w:w="10219"/>
          </w:cols>
          <w:pgMar w:left="240" w:top="45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940" w:type="dxa"/>
            <w:vAlign w:val="bottom"/>
            <w:gridSpan w:val="31"/>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531"/>
        </w:trPr>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200" w:type="dxa"/>
            <w:vAlign w:val="bottom"/>
          </w:tcPr>
          <w:p>
            <w:pPr>
              <w:spacing w:after="0"/>
              <w:rPr>
                <w:sz w:val="24"/>
                <w:szCs w:val="24"/>
                <w:color w:val="auto"/>
              </w:rPr>
            </w:pPr>
          </w:p>
        </w:tc>
      </w:tr>
      <w:tr>
        <w:trPr>
          <w:trHeight w:val="442"/>
        </w:trPr>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89"/>
        </w:trPr>
        <w:tc>
          <w:tcPr>
            <w:tcW w:w="240" w:type="dxa"/>
            <w:vAlign w:val="bottom"/>
          </w:tcPr>
          <w:p>
            <w:pPr>
              <w:spacing w:after="0"/>
              <w:rPr>
                <w:sz w:val="16"/>
                <w:szCs w:val="16"/>
                <w:color w:val="auto"/>
              </w:rPr>
            </w:pPr>
          </w:p>
        </w:tc>
        <w:tc>
          <w:tcPr>
            <w:tcW w:w="9700" w:type="dxa"/>
            <w:vAlign w:val="bottom"/>
            <w:gridSpan w:val="30"/>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195"/>
        </w:trPr>
        <w:tc>
          <w:tcPr>
            <w:tcW w:w="240" w:type="dxa"/>
            <w:vAlign w:val="bottom"/>
          </w:tcPr>
          <w:p>
            <w:pPr>
              <w:spacing w:after="0"/>
              <w:rPr>
                <w:sz w:val="16"/>
                <w:szCs w:val="16"/>
                <w:color w:val="auto"/>
              </w:rPr>
            </w:pPr>
          </w:p>
        </w:tc>
        <w:tc>
          <w:tcPr>
            <w:tcW w:w="2060" w:type="dxa"/>
            <w:vAlign w:val="bottom"/>
            <w:tcBorders>
              <w:top w:val="single" w:sz="8" w:color="0000EE"/>
            </w:tcBorders>
            <w:gridSpan w:val="15"/>
          </w:tcPr>
          <w:p>
            <w:pPr>
              <w:spacing w:after="0" w:line="195" w:lineRule="exact"/>
              <w:rPr>
                <w:rFonts w:ascii="Arial" w:cs="Arial" w:eastAsia="Arial" w:hAnsi="Arial"/>
                <w:sz w:val="18"/>
                <w:szCs w:val="18"/>
                <w:color w:val="0000EE"/>
              </w:rPr>
            </w:pPr>
            <w:hyperlink w:anchor="page13">
              <w:r>
                <w:rPr>
                  <w:rFonts w:ascii="Arial" w:cs="Arial" w:eastAsia="Arial" w:hAnsi="Arial"/>
                  <w:sz w:val="18"/>
                  <w:szCs w:val="18"/>
                  <w:color w:val="0000EE"/>
                </w:rPr>
                <w:t>THE OFFERING</w:t>
              </w:r>
            </w:hyperlink>
          </w:p>
        </w:tc>
        <w:tc>
          <w:tcPr>
            <w:tcW w:w="7640" w:type="dxa"/>
            <w:vAlign w:val="bottom"/>
            <w:gridSpan w:val="15"/>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r>
      <w:tr>
        <w:trPr>
          <w:trHeight w:val="20"/>
        </w:trPr>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5"/>
        </w:trPr>
        <w:tc>
          <w:tcPr>
            <w:tcW w:w="240" w:type="dxa"/>
            <w:vAlign w:val="bottom"/>
          </w:tcPr>
          <w:p>
            <w:pPr>
              <w:spacing w:after="0"/>
              <w:rPr>
                <w:sz w:val="16"/>
                <w:szCs w:val="16"/>
                <w:color w:val="auto"/>
              </w:rPr>
            </w:pPr>
          </w:p>
        </w:tc>
        <w:tc>
          <w:tcPr>
            <w:tcW w:w="5320" w:type="dxa"/>
            <w:vAlign w:val="bottom"/>
            <w:tcBorders>
              <w:bottom w:val="single" w:sz="8" w:color="0000EE"/>
            </w:tcBorders>
            <w:gridSpan w:val="28"/>
          </w:tcPr>
          <w:p>
            <w:pPr>
              <w:spacing w:after="0" w:line="195"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SUMMARY CONSOLIDATED FINANCIAL AND OPERATING DATA</w:t>
              </w:r>
            </w:hyperlink>
          </w:p>
        </w:tc>
        <w:tc>
          <w:tcPr>
            <w:tcW w:w="4380" w:type="dxa"/>
            <w:vAlign w:val="bottom"/>
            <w:gridSpan w:val="2"/>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r>
      <w:tr>
        <w:trPr>
          <w:trHeight w:val="195"/>
        </w:trPr>
        <w:tc>
          <w:tcPr>
            <w:tcW w:w="240" w:type="dxa"/>
            <w:vAlign w:val="bottom"/>
          </w:tcPr>
          <w:p>
            <w:pPr>
              <w:spacing w:after="0"/>
              <w:rPr>
                <w:sz w:val="16"/>
                <w:szCs w:val="16"/>
                <w:color w:val="auto"/>
              </w:rPr>
            </w:pPr>
          </w:p>
        </w:tc>
        <w:tc>
          <w:tcPr>
            <w:tcW w:w="1260" w:type="dxa"/>
            <w:vAlign w:val="bottom"/>
            <w:tcBorders>
              <w:bottom w:val="single" w:sz="8" w:color="0000EE"/>
            </w:tcBorders>
            <w:gridSpan w:val="8"/>
          </w:tcPr>
          <w:p>
            <w:pPr>
              <w:spacing w:after="0" w:line="195"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RISK FACTORS</w:t>
              </w:r>
            </w:hyperlink>
          </w:p>
        </w:tc>
        <w:tc>
          <w:tcPr>
            <w:tcW w:w="8440" w:type="dxa"/>
            <w:vAlign w:val="bottom"/>
            <w:gridSpan w:val="22"/>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13</w:t>
            </w: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60">
              <w:r>
                <w:rPr>
                  <w:rFonts w:ascii="Arial" w:cs="Arial" w:eastAsia="Arial" w:hAnsi="Arial"/>
                  <w:sz w:val="18"/>
                  <w:szCs w:val="18"/>
                  <w:color w:val="0000EE"/>
                </w:rPr>
                <w:t>SPECIAL NOTE REGARDING FORWARD-LOOKING STATEMENTS</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r>
      <w:tr>
        <w:trPr>
          <w:trHeight w:val="195"/>
        </w:trPr>
        <w:tc>
          <w:tcPr>
            <w:tcW w:w="240" w:type="dxa"/>
            <w:vAlign w:val="bottom"/>
          </w:tcPr>
          <w:p>
            <w:pPr>
              <w:spacing w:after="0"/>
              <w:rPr>
                <w:sz w:val="16"/>
                <w:szCs w:val="16"/>
                <w:color w:val="auto"/>
              </w:rPr>
            </w:pPr>
          </w:p>
        </w:tc>
        <w:tc>
          <w:tcPr>
            <w:tcW w:w="1580" w:type="dxa"/>
            <w:vAlign w:val="bottom"/>
            <w:tcBorders>
              <w:top w:val="single" w:sz="8" w:color="0000EE"/>
              <w:bottom w:val="single" w:sz="8" w:color="0000EE"/>
            </w:tcBorders>
            <w:gridSpan w:val="14"/>
          </w:tcPr>
          <w:p>
            <w:pPr>
              <w:spacing w:after="0" w:line="195"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USE OF PROCEEDS</w:t>
              </w:r>
            </w:hyperlink>
          </w:p>
        </w:tc>
        <w:tc>
          <w:tcPr>
            <w:tcW w:w="3720" w:type="dxa"/>
            <w:vAlign w:val="bottom"/>
            <w:tcBorders>
              <w:top w:val="single" w:sz="8" w:color="0000EE"/>
            </w:tcBorders>
            <w:gridSpan w:val="13"/>
          </w:tcPr>
          <w:p>
            <w:pPr>
              <w:spacing w:after="0"/>
              <w:rPr>
                <w:sz w:val="16"/>
                <w:szCs w:val="16"/>
                <w:color w:val="auto"/>
              </w:rPr>
            </w:pPr>
          </w:p>
        </w:tc>
        <w:tc>
          <w:tcPr>
            <w:tcW w:w="4400" w:type="dxa"/>
            <w:vAlign w:val="bottom"/>
            <w:gridSpan w:val="3"/>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57</w:t>
            </w: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58</w:t>
            </w:r>
          </w:p>
        </w:tc>
      </w:tr>
      <w:tr>
        <w:trPr>
          <w:trHeight w:val="195"/>
        </w:trPr>
        <w:tc>
          <w:tcPr>
            <w:tcW w:w="240" w:type="dxa"/>
            <w:vAlign w:val="bottom"/>
          </w:tcPr>
          <w:p>
            <w:pPr>
              <w:spacing w:after="0"/>
              <w:rPr>
                <w:sz w:val="16"/>
                <w:szCs w:val="16"/>
                <w:color w:val="auto"/>
              </w:rPr>
            </w:pPr>
          </w:p>
        </w:tc>
        <w:tc>
          <w:tcPr>
            <w:tcW w:w="146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98"/>
              </w:rPr>
            </w:pPr>
            <w:hyperlink w:anchor="page64">
              <w:r>
                <w:rPr>
                  <w:rFonts w:ascii="Arial" w:cs="Arial" w:eastAsia="Arial" w:hAnsi="Arial"/>
                  <w:sz w:val="18"/>
                  <w:szCs w:val="18"/>
                  <w:color w:val="0000EE"/>
                  <w:w w:val="98"/>
                </w:rPr>
                <w:t>CAPITALIZATION</w:t>
              </w:r>
            </w:hyperlink>
          </w:p>
        </w:tc>
        <w:tc>
          <w:tcPr>
            <w:tcW w:w="100" w:type="dxa"/>
            <w:vAlign w:val="bottom"/>
            <w:tcBorders>
              <w:top w:val="single" w:sz="8" w:color="0000EE"/>
            </w:tcBorders>
          </w:tcPr>
          <w:p>
            <w:pPr>
              <w:spacing w:after="0"/>
              <w:rPr>
                <w:sz w:val="16"/>
                <w:szCs w:val="16"/>
                <w:color w:val="auto"/>
              </w:rPr>
            </w:pPr>
          </w:p>
        </w:tc>
        <w:tc>
          <w:tcPr>
            <w:tcW w:w="8140" w:type="dxa"/>
            <w:vAlign w:val="bottom"/>
            <w:gridSpan w:val="17"/>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59</w:t>
            </w:r>
          </w:p>
        </w:tc>
      </w:tr>
      <w:tr>
        <w:trPr>
          <w:trHeight w:val="195"/>
        </w:trPr>
        <w:tc>
          <w:tcPr>
            <w:tcW w:w="240" w:type="dxa"/>
            <w:vAlign w:val="bottom"/>
          </w:tcPr>
          <w:p>
            <w:pPr>
              <w:spacing w:after="0"/>
              <w:rPr>
                <w:sz w:val="16"/>
                <w:szCs w:val="16"/>
                <w:color w:val="auto"/>
              </w:rPr>
            </w:pPr>
          </w:p>
        </w:tc>
        <w:tc>
          <w:tcPr>
            <w:tcW w:w="860" w:type="dxa"/>
            <w:vAlign w:val="bottom"/>
            <w:tcBorders>
              <w:bottom w:val="single" w:sz="8" w:color="0000EE"/>
            </w:tcBorders>
            <w:gridSpan w:val="3"/>
          </w:tcPr>
          <w:p>
            <w:pPr>
              <w:spacing w:after="0" w:line="195"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DILUTION</w:t>
              </w:r>
            </w:hyperlink>
          </w:p>
        </w:tc>
        <w:tc>
          <w:tcPr>
            <w:tcW w:w="8840" w:type="dxa"/>
            <w:vAlign w:val="bottom"/>
            <w:gridSpan w:val="27"/>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68">
              <w:r>
                <w:rPr>
                  <w:rFonts w:ascii="Arial" w:cs="Arial" w:eastAsia="Arial" w:hAnsi="Arial"/>
                  <w:sz w:val="18"/>
                  <w:szCs w:val="18"/>
                  <w:color w:val="0000EE"/>
                </w:rPr>
                <w:t>EXCHANGE RATE INFORMATION</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63</w:t>
            </w:r>
          </w:p>
        </w:tc>
      </w:tr>
      <w:tr>
        <w:trPr>
          <w:trHeight w:val="20"/>
        </w:trPr>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5"/>
        </w:trPr>
        <w:tc>
          <w:tcPr>
            <w:tcW w:w="240" w:type="dxa"/>
            <w:vAlign w:val="bottom"/>
          </w:tcPr>
          <w:p>
            <w:pPr>
              <w:spacing w:after="0"/>
              <w:rPr>
                <w:sz w:val="16"/>
                <w:szCs w:val="16"/>
                <w:color w:val="auto"/>
              </w:rPr>
            </w:pPr>
          </w:p>
        </w:tc>
        <w:tc>
          <w:tcPr>
            <w:tcW w:w="3400" w:type="dxa"/>
            <w:vAlign w:val="bottom"/>
            <w:tcBorders>
              <w:bottom w:val="single" w:sz="8" w:color="0000EE"/>
            </w:tcBorders>
            <w:gridSpan w:val="22"/>
          </w:tcPr>
          <w:p>
            <w:pPr>
              <w:spacing w:after="0" w:line="195"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ENFORCEABILITY OF CIVIL LIABILITIES</w:t>
              </w:r>
            </w:hyperlink>
          </w:p>
        </w:tc>
        <w:tc>
          <w:tcPr>
            <w:tcW w:w="6300" w:type="dxa"/>
            <w:vAlign w:val="bottom"/>
            <w:gridSpan w:val="8"/>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65</w:t>
            </w:r>
          </w:p>
        </w:tc>
      </w:tr>
      <w:tr>
        <w:trPr>
          <w:trHeight w:val="195"/>
        </w:trPr>
        <w:tc>
          <w:tcPr>
            <w:tcW w:w="240" w:type="dxa"/>
            <w:vAlign w:val="bottom"/>
          </w:tcPr>
          <w:p>
            <w:pPr>
              <w:spacing w:after="0"/>
              <w:rPr>
                <w:sz w:val="16"/>
                <w:szCs w:val="16"/>
                <w:color w:val="auto"/>
              </w:rPr>
            </w:pPr>
          </w:p>
        </w:tc>
        <w:tc>
          <w:tcPr>
            <w:tcW w:w="3380" w:type="dxa"/>
            <w:vAlign w:val="bottom"/>
            <w:tcBorders>
              <w:bottom w:val="single" w:sz="8" w:color="0000EE"/>
            </w:tcBorders>
            <w:gridSpan w:val="21"/>
          </w:tcPr>
          <w:p>
            <w:pPr>
              <w:spacing w:after="0" w:line="195"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CORPORATE HISTORY AND STRUCTURE</w:t>
              </w:r>
            </w:hyperlink>
          </w:p>
        </w:tc>
        <w:tc>
          <w:tcPr>
            <w:tcW w:w="6320" w:type="dxa"/>
            <w:vAlign w:val="bottom"/>
            <w:gridSpan w:val="9"/>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67</w:t>
            </w:r>
          </w:p>
        </w:tc>
      </w:tr>
      <w:tr>
        <w:trPr>
          <w:trHeight w:val="195"/>
        </w:trPr>
        <w:tc>
          <w:tcPr>
            <w:tcW w:w="240" w:type="dxa"/>
            <w:vAlign w:val="bottom"/>
          </w:tcPr>
          <w:p>
            <w:pPr>
              <w:spacing w:after="0"/>
              <w:rPr>
                <w:sz w:val="16"/>
                <w:szCs w:val="16"/>
                <w:color w:val="auto"/>
              </w:rPr>
            </w:pPr>
          </w:p>
        </w:tc>
        <w:tc>
          <w:tcPr>
            <w:tcW w:w="3820" w:type="dxa"/>
            <w:vAlign w:val="bottom"/>
            <w:tcBorders>
              <w:bottom w:val="single" w:sz="8" w:color="0000EE"/>
            </w:tcBorders>
            <w:gridSpan w:val="24"/>
          </w:tcPr>
          <w:p>
            <w:pPr>
              <w:spacing w:after="0" w:line="195"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SELECTED CONSOLIDATED FINANCIAL DATA</w:t>
              </w:r>
            </w:hyperlink>
          </w:p>
        </w:tc>
        <w:tc>
          <w:tcPr>
            <w:tcW w:w="5880" w:type="dxa"/>
            <w:vAlign w:val="bottom"/>
            <w:gridSpan w:val="6"/>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195"/>
        </w:trPr>
        <w:tc>
          <w:tcPr>
            <w:tcW w:w="240" w:type="dxa"/>
            <w:vAlign w:val="bottom"/>
          </w:tcPr>
          <w:p>
            <w:pPr>
              <w:spacing w:after="0"/>
              <w:rPr>
                <w:sz w:val="16"/>
                <w:szCs w:val="16"/>
                <w:color w:val="auto"/>
              </w:rPr>
            </w:pPr>
          </w:p>
        </w:tc>
        <w:tc>
          <w:tcPr>
            <w:tcW w:w="8860" w:type="dxa"/>
            <w:vAlign w:val="bottom"/>
            <w:tcBorders>
              <w:bottom w:val="single" w:sz="8" w:color="0000EE"/>
            </w:tcBorders>
            <w:gridSpan w:val="29"/>
          </w:tcPr>
          <w:p>
            <w:pPr>
              <w:spacing w:after="0" w:line="195"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MANAGEMENT’S DISCUSSION AND ANALYSIS OF FINANCIAL CONDITION AND RESULTS OF OPERATIONS</w:t>
              </w:r>
            </w:hyperlink>
          </w:p>
        </w:tc>
        <w:tc>
          <w:tcPr>
            <w:tcW w:w="84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74</w:t>
            </w:r>
          </w:p>
        </w:tc>
      </w:tr>
      <w:tr>
        <w:trPr>
          <w:trHeight w:val="195"/>
        </w:trPr>
        <w:tc>
          <w:tcPr>
            <w:tcW w:w="240" w:type="dxa"/>
            <w:vAlign w:val="bottom"/>
          </w:tcPr>
          <w:p>
            <w:pPr>
              <w:spacing w:after="0"/>
              <w:rPr>
                <w:sz w:val="16"/>
                <w:szCs w:val="16"/>
                <w:color w:val="auto"/>
              </w:rPr>
            </w:pPr>
          </w:p>
        </w:tc>
        <w:tc>
          <w:tcPr>
            <w:tcW w:w="900" w:type="dxa"/>
            <w:vAlign w:val="bottom"/>
            <w:tcBorders>
              <w:bottom w:val="single" w:sz="8" w:color="0000EE"/>
            </w:tcBorders>
            <w:gridSpan w:val="5"/>
          </w:tcPr>
          <w:p>
            <w:pPr>
              <w:spacing w:after="0" w:line="195" w:lineRule="exact"/>
              <w:rPr>
                <w:rFonts w:ascii="Arial" w:cs="Arial" w:eastAsia="Arial" w:hAnsi="Arial"/>
                <w:sz w:val="18"/>
                <w:szCs w:val="18"/>
                <w:color w:val="0000EE"/>
                <w:w w:val="95"/>
              </w:rPr>
            </w:pPr>
            <w:hyperlink w:anchor="page103">
              <w:r>
                <w:rPr>
                  <w:rFonts w:ascii="Arial" w:cs="Arial" w:eastAsia="Arial" w:hAnsi="Arial"/>
                  <w:sz w:val="18"/>
                  <w:szCs w:val="18"/>
                  <w:color w:val="0000EE"/>
                  <w:w w:val="95"/>
                </w:rPr>
                <w:t>INDUSTRY</w:t>
              </w:r>
            </w:hyperlink>
          </w:p>
        </w:tc>
        <w:tc>
          <w:tcPr>
            <w:tcW w:w="8800" w:type="dxa"/>
            <w:vAlign w:val="bottom"/>
            <w:gridSpan w:val="25"/>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98</w:t>
            </w: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110">
              <w:r>
                <w:rPr>
                  <w:rFonts w:ascii="Arial" w:cs="Arial" w:eastAsia="Arial" w:hAnsi="Arial"/>
                  <w:sz w:val="18"/>
                  <w:szCs w:val="18"/>
                  <w:color w:val="0000EE"/>
                </w:rPr>
                <w:t>BUSINESS</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r>
      <w:tr>
        <w:trPr>
          <w:trHeight w:val="20"/>
        </w:trPr>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135">
              <w:r>
                <w:rPr>
                  <w:rFonts w:ascii="Arial" w:cs="Arial" w:eastAsia="Arial" w:hAnsi="Arial"/>
                  <w:sz w:val="18"/>
                  <w:szCs w:val="18"/>
                  <w:color w:val="0000EE"/>
                </w:rPr>
                <w:t>REGULATION</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130</w:t>
            </w:r>
          </w:p>
        </w:tc>
      </w:tr>
      <w:tr>
        <w:trPr>
          <w:trHeight w:val="20"/>
        </w:trPr>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159">
              <w:r>
                <w:rPr>
                  <w:rFonts w:ascii="Arial" w:cs="Arial" w:eastAsia="Arial" w:hAnsi="Arial"/>
                  <w:sz w:val="18"/>
                  <w:szCs w:val="18"/>
                  <w:color w:val="0000EE"/>
                </w:rPr>
                <w:t>MANAGEMENT</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154</w:t>
            </w:r>
          </w:p>
        </w:tc>
      </w:tr>
      <w:tr>
        <w:trPr>
          <w:trHeight w:val="20"/>
        </w:trPr>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165">
              <w:r>
                <w:rPr>
                  <w:rFonts w:ascii="Arial" w:cs="Arial" w:eastAsia="Arial" w:hAnsi="Arial"/>
                  <w:sz w:val="18"/>
                  <w:szCs w:val="18"/>
                  <w:color w:val="0000EE"/>
                </w:rPr>
                <w:t>PRINCIPAL [AND SELLING] SHAREHOLDERS</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160</w:t>
            </w:r>
          </w:p>
        </w:tc>
      </w:tr>
      <w:tr>
        <w:trPr>
          <w:trHeight w:val="195"/>
        </w:trPr>
        <w:tc>
          <w:tcPr>
            <w:tcW w:w="240" w:type="dxa"/>
            <w:vAlign w:val="bottom"/>
          </w:tcPr>
          <w:p>
            <w:pPr>
              <w:spacing w:after="0"/>
              <w:rPr>
                <w:sz w:val="16"/>
                <w:szCs w:val="16"/>
                <w:color w:val="auto"/>
              </w:rPr>
            </w:pPr>
          </w:p>
        </w:tc>
        <w:tc>
          <w:tcPr>
            <w:tcW w:w="3700" w:type="dxa"/>
            <w:vAlign w:val="bottom"/>
            <w:tcBorders>
              <w:top w:val="single" w:sz="8" w:color="0000EE"/>
            </w:tcBorders>
            <w:gridSpan w:val="23"/>
          </w:tcPr>
          <w:p>
            <w:pPr>
              <w:spacing w:after="0" w:line="195" w:lineRule="exact"/>
              <w:rPr>
                <w:rFonts w:ascii="Arial" w:cs="Arial" w:eastAsia="Arial" w:hAnsi="Arial"/>
                <w:sz w:val="18"/>
                <w:szCs w:val="18"/>
                <w:color w:val="0000EE"/>
              </w:rPr>
            </w:pPr>
            <w:hyperlink w:anchor="page167">
              <w:r>
                <w:rPr>
                  <w:rFonts w:ascii="Arial" w:cs="Arial" w:eastAsia="Arial" w:hAnsi="Arial"/>
                  <w:sz w:val="18"/>
                  <w:szCs w:val="18"/>
                  <w:color w:val="0000EE"/>
                </w:rPr>
                <w:t>RELATED PARTY TRANSACTIONS</w:t>
              </w:r>
            </w:hyperlink>
          </w:p>
        </w:tc>
        <w:tc>
          <w:tcPr>
            <w:tcW w:w="6000" w:type="dxa"/>
            <w:vAlign w:val="bottom"/>
            <w:gridSpan w:val="7"/>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162</w:t>
            </w:r>
          </w:p>
        </w:tc>
      </w:tr>
      <w:tr>
        <w:trPr>
          <w:trHeight w:val="20"/>
        </w:trPr>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5"/>
        </w:trPr>
        <w:tc>
          <w:tcPr>
            <w:tcW w:w="240" w:type="dxa"/>
            <w:vAlign w:val="bottom"/>
          </w:tcPr>
          <w:p>
            <w:pPr>
              <w:spacing w:after="0"/>
              <w:rPr>
                <w:sz w:val="16"/>
                <w:szCs w:val="16"/>
                <w:color w:val="auto"/>
              </w:rPr>
            </w:pPr>
          </w:p>
        </w:tc>
        <w:tc>
          <w:tcPr>
            <w:tcW w:w="2860" w:type="dxa"/>
            <w:vAlign w:val="bottom"/>
            <w:tcBorders>
              <w:bottom w:val="single" w:sz="8" w:color="0000EE"/>
            </w:tcBorders>
            <w:gridSpan w:val="18"/>
          </w:tcPr>
          <w:p>
            <w:pPr>
              <w:spacing w:after="0" w:line="195"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DESCRIPTION OF SHARE CAPITAL</w:t>
              </w:r>
            </w:hyperlink>
          </w:p>
        </w:tc>
        <w:tc>
          <w:tcPr>
            <w:tcW w:w="6840" w:type="dxa"/>
            <w:vAlign w:val="bottom"/>
            <w:gridSpan w:val="12"/>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163</w:t>
            </w:r>
          </w:p>
        </w:tc>
      </w:tr>
      <w:tr>
        <w:trPr>
          <w:trHeight w:val="195"/>
        </w:trPr>
        <w:tc>
          <w:tcPr>
            <w:tcW w:w="240" w:type="dxa"/>
            <w:vAlign w:val="bottom"/>
          </w:tcPr>
          <w:p>
            <w:pPr>
              <w:spacing w:after="0"/>
              <w:rPr>
                <w:sz w:val="16"/>
                <w:szCs w:val="16"/>
                <w:color w:val="auto"/>
              </w:rPr>
            </w:pPr>
          </w:p>
        </w:tc>
        <w:tc>
          <w:tcPr>
            <w:tcW w:w="4300" w:type="dxa"/>
            <w:vAlign w:val="bottom"/>
            <w:tcBorders>
              <w:bottom w:val="single" w:sz="8" w:color="0000EE"/>
            </w:tcBorders>
            <w:gridSpan w:val="25"/>
          </w:tcPr>
          <w:p>
            <w:pPr>
              <w:spacing w:after="0" w:line="195" w:lineRule="exact"/>
              <w:rPr>
                <w:rFonts w:ascii="Arial" w:cs="Arial" w:eastAsia="Arial" w:hAnsi="Arial"/>
                <w:sz w:val="18"/>
                <w:szCs w:val="18"/>
                <w:color w:val="0000EE"/>
                <w:w w:val="94"/>
              </w:rPr>
            </w:pPr>
            <w:hyperlink w:anchor="page179">
              <w:r>
                <w:rPr>
                  <w:rFonts w:ascii="Arial" w:cs="Arial" w:eastAsia="Arial" w:hAnsi="Arial"/>
                  <w:sz w:val="18"/>
                  <w:szCs w:val="18"/>
                  <w:color w:val="0000EE"/>
                  <w:w w:val="94"/>
                </w:rPr>
                <w:t>DESCRIPTION OF AMERICAN DEPOSITARY SHARES</w:t>
              </w:r>
            </w:hyperlink>
          </w:p>
        </w:tc>
        <w:tc>
          <w:tcPr>
            <w:tcW w:w="5400" w:type="dxa"/>
            <w:vAlign w:val="bottom"/>
            <w:gridSpan w:val="5"/>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174</w:t>
            </w:r>
          </w:p>
        </w:tc>
      </w:tr>
      <w:tr>
        <w:trPr>
          <w:trHeight w:val="195"/>
        </w:trPr>
        <w:tc>
          <w:tcPr>
            <w:tcW w:w="240" w:type="dxa"/>
            <w:vAlign w:val="bottom"/>
          </w:tcPr>
          <w:p>
            <w:pPr>
              <w:spacing w:after="0"/>
              <w:rPr>
                <w:sz w:val="16"/>
                <w:szCs w:val="16"/>
                <w:color w:val="auto"/>
              </w:rPr>
            </w:pPr>
          </w:p>
        </w:tc>
        <w:tc>
          <w:tcPr>
            <w:tcW w:w="3260" w:type="dxa"/>
            <w:vAlign w:val="bottom"/>
            <w:tcBorders>
              <w:bottom w:val="single" w:sz="8" w:color="0000EE"/>
            </w:tcBorders>
            <w:gridSpan w:val="19"/>
          </w:tcPr>
          <w:p>
            <w:pPr>
              <w:spacing w:after="0" w:line="195" w:lineRule="exact"/>
              <w:rPr>
                <w:rFonts w:ascii="Arial" w:cs="Arial" w:eastAsia="Arial" w:hAnsi="Arial"/>
                <w:sz w:val="18"/>
                <w:szCs w:val="18"/>
                <w:color w:val="0000EE"/>
                <w:w w:val="94"/>
              </w:rPr>
            </w:pPr>
            <w:hyperlink w:anchor="page189">
              <w:r>
                <w:rPr>
                  <w:rFonts w:ascii="Arial" w:cs="Arial" w:eastAsia="Arial" w:hAnsi="Arial"/>
                  <w:sz w:val="18"/>
                  <w:szCs w:val="18"/>
                  <w:color w:val="0000EE"/>
                  <w:w w:val="94"/>
                </w:rPr>
                <w:t>SHARES ELIGIBLE FOR FUTURE SALES</w:t>
              </w:r>
            </w:hyperlink>
          </w:p>
        </w:tc>
        <w:tc>
          <w:tcPr>
            <w:tcW w:w="6440" w:type="dxa"/>
            <w:vAlign w:val="bottom"/>
            <w:gridSpan w:val="11"/>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184</w:t>
            </w: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191">
              <w:r>
                <w:rPr>
                  <w:rFonts w:ascii="Arial" w:cs="Arial" w:eastAsia="Arial" w:hAnsi="Arial"/>
                  <w:sz w:val="18"/>
                  <w:szCs w:val="18"/>
                  <w:color w:val="0000EE"/>
                </w:rPr>
                <w:t>TAXATION</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186</w:t>
            </w:r>
          </w:p>
        </w:tc>
      </w:tr>
      <w:tr>
        <w:trPr>
          <w:trHeight w:val="20"/>
        </w:trPr>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5"/>
        </w:trPr>
        <w:tc>
          <w:tcPr>
            <w:tcW w:w="240" w:type="dxa"/>
            <w:vAlign w:val="bottom"/>
          </w:tcPr>
          <w:p>
            <w:pPr>
              <w:spacing w:after="0"/>
              <w:rPr>
                <w:sz w:val="16"/>
                <w:szCs w:val="16"/>
                <w:color w:val="auto"/>
              </w:rPr>
            </w:pPr>
          </w:p>
        </w:tc>
        <w:tc>
          <w:tcPr>
            <w:tcW w:w="1380" w:type="dxa"/>
            <w:vAlign w:val="bottom"/>
            <w:tcBorders>
              <w:bottom w:val="single" w:sz="8" w:color="0000EE"/>
            </w:tcBorders>
            <w:gridSpan w:val="10"/>
          </w:tcPr>
          <w:p>
            <w:pPr>
              <w:spacing w:after="0" w:line="195" w:lineRule="exact"/>
              <w:rPr>
                <w:rFonts w:ascii="Arial" w:cs="Arial" w:eastAsia="Arial" w:hAnsi="Arial"/>
                <w:sz w:val="18"/>
                <w:szCs w:val="18"/>
                <w:color w:val="0000EE"/>
                <w:w w:val="95"/>
              </w:rPr>
            </w:pPr>
            <w:hyperlink w:anchor="page198">
              <w:r>
                <w:rPr>
                  <w:rFonts w:ascii="Arial" w:cs="Arial" w:eastAsia="Arial" w:hAnsi="Arial"/>
                  <w:sz w:val="18"/>
                  <w:szCs w:val="18"/>
                  <w:color w:val="0000EE"/>
                  <w:w w:val="95"/>
                </w:rPr>
                <w:t>UNDERWRITING</w:t>
              </w:r>
            </w:hyperlink>
          </w:p>
        </w:tc>
        <w:tc>
          <w:tcPr>
            <w:tcW w:w="8320" w:type="dxa"/>
            <w:vAlign w:val="bottom"/>
            <w:gridSpan w:val="20"/>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193</w:t>
            </w: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207">
              <w:r>
                <w:rPr>
                  <w:rFonts w:ascii="Arial" w:cs="Arial" w:eastAsia="Arial" w:hAnsi="Arial"/>
                  <w:sz w:val="18"/>
                  <w:szCs w:val="18"/>
                  <w:color w:val="0000EE"/>
                </w:rPr>
                <w:t>EXPENSES RELATED TO THIS OFFERING</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202</w:t>
            </w:r>
          </w:p>
        </w:tc>
      </w:tr>
      <w:tr>
        <w:trPr>
          <w:trHeight w:val="195"/>
        </w:trPr>
        <w:tc>
          <w:tcPr>
            <w:tcW w:w="240" w:type="dxa"/>
            <w:vAlign w:val="bottom"/>
          </w:tcPr>
          <w:p>
            <w:pPr>
              <w:spacing w:after="0"/>
              <w:rPr>
                <w:sz w:val="16"/>
                <w:szCs w:val="16"/>
                <w:color w:val="auto"/>
              </w:rPr>
            </w:pPr>
          </w:p>
        </w:tc>
        <w:tc>
          <w:tcPr>
            <w:tcW w:w="3360" w:type="dxa"/>
            <w:vAlign w:val="bottom"/>
            <w:tcBorders>
              <w:top w:val="single" w:sz="8" w:color="0000EE"/>
            </w:tcBorders>
            <w:gridSpan w:val="20"/>
          </w:tcPr>
          <w:p>
            <w:pPr>
              <w:spacing w:after="0" w:line="195" w:lineRule="exact"/>
              <w:rPr>
                <w:rFonts w:ascii="Arial" w:cs="Arial" w:eastAsia="Arial" w:hAnsi="Arial"/>
                <w:sz w:val="18"/>
                <w:szCs w:val="18"/>
                <w:color w:val="0000EE"/>
              </w:rPr>
            </w:pPr>
            <w:hyperlink w:anchor="page208">
              <w:r>
                <w:rPr>
                  <w:rFonts w:ascii="Arial" w:cs="Arial" w:eastAsia="Arial" w:hAnsi="Arial"/>
                  <w:sz w:val="18"/>
                  <w:szCs w:val="18"/>
                  <w:color w:val="0000EE"/>
                </w:rPr>
                <w:t>LEGAL MATTERS</w:t>
              </w:r>
            </w:hyperlink>
          </w:p>
        </w:tc>
        <w:tc>
          <w:tcPr>
            <w:tcW w:w="6340" w:type="dxa"/>
            <w:vAlign w:val="bottom"/>
            <w:gridSpan w:val="10"/>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203</w:t>
            </w:r>
          </w:p>
        </w:tc>
      </w:tr>
      <w:tr>
        <w:trPr>
          <w:trHeight w:val="195"/>
        </w:trPr>
        <w:tc>
          <w:tcPr>
            <w:tcW w:w="240" w:type="dxa"/>
            <w:vAlign w:val="bottom"/>
          </w:tcPr>
          <w:p>
            <w:pPr>
              <w:spacing w:after="0"/>
              <w:rPr>
                <w:sz w:val="16"/>
                <w:szCs w:val="16"/>
                <w:color w:val="auto"/>
              </w:rPr>
            </w:pPr>
          </w:p>
        </w:tc>
        <w:tc>
          <w:tcPr>
            <w:tcW w:w="144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w:anchor="page209">
              <w:r>
                <w:rPr>
                  <w:rFonts w:ascii="Arial" w:cs="Arial" w:eastAsia="Arial" w:hAnsi="Arial"/>
                  <w:sz w:val="18"/>
                  <w:szCs w:val="18"/>
                  <w:color w:val="0000EE"/>
                </w:rPr>
                <w:t>EXPERTS</w:t>
              </w:r>
            </w:hyperlink>
          </w:p>
        </w:tc>
        <w:tc>
          <w:tcPr>
            <w:tcW w:w="8260" w:type="dxa"/>
            <w:vAlign w:val="bottom"/>
            <w:gridSpan w:val="19"/>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204</w:t>
            </w:r>
          </w:p>
        </w:tc>
      </w:tr>
      <w:tr>
        <w:trPr>
          <w:trHeight w:val="20"/>
        </w:trPr>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20" w:type="dxa"/>
            <w:vAlign w:val="bottom"/>
            <w:gridSpan w:val="25"/>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210">
              <w:r>
                <w:rPr>
                  <w:rFonts w:ascii="Arial" w:cs="Arial" w:eastAsia="Arial" w:hAnsi="Arial"/>
                  <w:sz w:val="18"/>
                  <w:szCs w:val="18"/>
                  <w:color w:val="0000EE"/>
                </w:rPr>
                <w:t>WHERE YOU CAN FIND ADDITIONAL INFORMATION</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205</w:t>
            </w:r>
          </w:p>
        </w:tc>
      </w:tr>
      <w:tr>
        <w:trPr>
          <w:trHeight w:val="20"/>
        </w:trPr>
        <w:tc>
          <w:tcPr>
            <w:tcW w:w="240" w:type="dxa"/>
            <w:vAlign w:val="bottom"/>
          </w:tcPr>
          <w:p>
            <w:pPr>
              <w:spacing w:after="0" w:line="20" w:lineRule="exact"/>
              <w:rPr>
                <w:sz w:val="1"/>
                <w:szCs w:val="1"/>
                <w:color w:val="auto"/>
              </w:rPr>
            </w:pPr>
          </w:p>
        </w:tc>
        <w:tc>
          <w:tcPr>
            <w:tcW w:w="4380" w:type="dxa"/>
            <w:vAlign w:val="bottom"/>
            <w:gridSpan w:val="26"/>
            <w:shd w:val="clear" w:color="auto" w:fill="0000EE"/>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5"/>
        </w:trPr>
        <w:tc>
          <w:tcPr>
            <w:tcW w:w="240" w:type="dxa"/>
            <w:vAlign w:val="bottom"/>
          </w:tcPr>
          <w:p>
            <w:pPr>
              <w:spacing w:after="0"/>
              <w:rPr>
                <w:sz w:val="16"/>
                <w:szCs w:val="16"/>
                <w:color w:val="auto"/>
              </w:rPr>
            </w:pPr>
          </w:p>
        </w:tc>
        <w:tc>
          <w:tcPr>
            <w:tcW w:w="9700" w:type="dxa"/>
            <w:vAlign w:val="bottom"/>
            <w:gridSpan w:val="30"/>
          </w:tcPr>
          <w:p>
            <w:pPr>
              <w:spacing w:after="0" w:line="195" w:lineRule="exact"/>
              <w:rPr>
                <w:rFonts w:ascii="Arial" w:cs="Arial" w:eastAsia="Arial" w:hAnsi="Arial"/>
                <w:sz w:val="18"/>
                <w:szCs w:val="18"/>
                <w:color w:val="0000EE"/>
              </w:rPr>
            </w:pPr>
            <w:hyperlink w:anchor="page211">
              <w:r>
                <w:rPr>
                  <w:rFonts w:ascii="Arial" w:cs="Arial" w:eastAsia="Arial" w:hAnsi="Arial"/>
                  <w:sz w:val="18"/>
                  <w:szCs w:val="18"/>
                  <w:color w:val="0000EE"/>
                </w:rPr>
                <w:t>INDEX TO CONSOLIDATED FINANCIAL STATEMENTS</w:t>
              </w:r>
            </w:hyperlink>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F-1</w:t>
            </w:r>
          </w:p>
        </w:tc>
      </w:tr>
      <w:tr>
        <w:trPr>
          <w:trHeight w:val="20"/>
        </w:trPr>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p>
      <w:pPr>
        <w:ind w:left="240" w:firstLine="438"/>
        <w:spacing w:after="0" w:line="257"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88" w:lineRule="exact"/>
        <w:rPr>
          <w:sz w:val="20"/>
          <w:szCs w:val="20"/>
          <w:color w:val="auto"/>
        </w:rPr>
      </w:pPr>
    </w:p>
    <w:p>
      <w:pPr>
        <w:ind w:left="240" w:right="240" w:firstLine="438"/>
        <w:spacing w:after="0" w:line="300" w:lineRule="auto"/>
        <w:rPr>
          <w:sz w:val="20"/>
          <w:szCs w:val="20"/>
          <w:color w:val="auto"/>
        </w:rPr>
      </w:pPr>
      <w:r>
        <w:rPr>
          <w:rFonts w:ascii="Arial" w:cs="Arial" w:eastAsia="Arial" w:hAnsi="Arial"/>
          <w:sz w:val="16"/>
          <w:szCs w:val="16"/>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50" w:lineRule="exact"/>
        <w:rPr>
          <w:sz w:val="20"/>
          <w:szCs w:val="20"/>
          <w:color w:val="auto"/>
        </w:rPr>
      </w:pPr>
    </w:p>
    <w:p>
      <w:pPr>
        <w:ind w:left="240" w:right="340" w:firstLine="438"/>
        <w:spacing w:after="0" w:line="264" w:lineRule="auto"/>
        <w:rPr>
          <w:sz w:val="20"/>
          <w:szCs w:val="20"/>
          <w:color w:val="auto"/>
        </w:rPr>
      </w:pPr>
      <w:r>
        <w:rPr>
          <w:rFonts w:ascii="Arial" w:cs="Arial" w:eastAsia="Arial" w:hAnsi="Arial"/>
          <w:sz w:val="18"/>
          <w:szCs w:val="18"/>
          <w:b w:val="1"/>
          <w:bCs w:val="1"/>
          <w:color w:val="auto"/>
        </w:rPr>
        <w:t>Until , 2018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43"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201930</wp:posOffset>
            </wp:positionV>
            <wp:extent cx="6961505" cy="5878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1505" cy="58788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7" w:lineRule="exact"/>
        <w:rPr>
          <w:sz w:val="20"/>
          <w:szCs w:val="20"/>
          <w:color w:val="auto"/>
        </w:rPr>
      </w:pPr>
    </w:p>
    <w:p>
      <w:pPr>
        <w:ind w:left="420" w:right="160" w:firstLine="424"/>
        <w:spacing w:after="0" w:line="274"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This prospectus contains information from an industry report commissioned by us and prepared by Oliver Wyman Consulting (Shanghai) Ltd., or Oliver Wyman, an independent research firm, to provide information regarding our industry and our market position in Hong Kong.</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Mission</w:t>
      </w:r>
    </w:p>
    <w:p>
      <w:pPr>
        <w:spacing w:after="0" w:line="119" w:lineRule="exact"/>
        <w:rPr>
          <w:sz w:val="20"/>
          <w:szCs w:val="20"/>
          <w:color w:val="auto"/>
        </w:rPr>
      </w:pPr>
    </w:p>
    <w:p>
      <w:pPr>
        <w:ind w:left="420" w:right="340" w:firstLine="424"/>
        <w:spacing w:after="0" w:line="275" w:lineRule="auto"/>
        <w:rPr>
          <w:sz w:val="20"/>
          <w:szCs w:val="20"/>
          <w:color w:val="auto"/>
        </w:rPr>
      </w:pPr>
      <w:r>
        <w:rPr>
          <w:rFonts w:ascii="Arial" w:cs="Arial" w:eastAsia="Arial" w:hAnsi="Arial"/>
          <w:sz w:val="18"/>
          <w:szCs w:val="18"/>
          <w:color w:val="auto"/>
        </w:rPr>
        <w:t>We strive to redefine traditional investing with proprietary technologies and a relentless focus on user experience, providing a gateway to building the world’s leading digital financial institution.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Business</w:t>
      </w:r>
    </w:p>
    <w:p>
      <w:pPr>
        <w:spacing w:after="0" w:line="119" w:lineRule="exact"/>
        <w:rPr>
          <w:sz w:val="20"/>
          <w:szCs w:val="20"/>
          <w:color w:val="auto"/>
        </w:rPr>
      </w:pPr>
    </w:p>
    <w:p>
      <w:pPr>
        <w:ind w:left="420" w:right="60" w:firstLine="424"/>
        <w:spacing w:after="0" w:line="269" w:lineRule="auto"/>
        <w:rPr>
          <w:sz w:val="20"/>
          <w:szCs w:val="20"/>
          <w:color w:val="auto"/>
        </w:rPr>
      </w:pPr>
      <w:r>
        <w:rPr>
          <w:rFonts w:ascii="Arial" w:cs="Arial" w:eastAsia="Arial" w:hAnsi="Arial"/>
          <w:sz w:val="17"/>
          <w:szCs w:val="17"/>
          <w:color w:val="auto"/>
        </w:rPr>
        <w:t>We are an advanced technology company transforming the investing experience by offering a fully digitized brokerage platform. Technology permeates every part of our business, allowing us to offer a redefined user experience built upon an agile, stable, scalable and secure platform. We primarily serve the emerging affluent Chinese population, pursuing a massive opportunity to facilitate a once-in-a-generation shift in the wealth management industry and build a digital gateway into broader financial services. As of June 30, 2018, we had an attractive and rapidly growing user base of 4.8 million, over 373,000 registered clients, defined as users who have opened trading accounts with us, and over 109,000 paying clients, defined as registered clients who have assets in their trading accounts. For the six months ended June 30, 2018, we brokered HK$478.2 billion (US$61.2 billion) in client trades, underlying a brokerage revenue base which ranked fourth among Hong Kong online retail brokers according to Oliver Wyman.</w:t>
      </w:r>
    </w:p>
    <w:p>
      <w:pPr>
        <w:spacing w:after="0" w:line="181" w:lineRule="exact"/>
        <w:rPr>
          <w:sz w:val="20"/>
          <w:szCs w:val="20"/>
          <w:color w:val="auto"/>
        </w:rPr>
      </w:pPr>
    </w:p>
    <w:p>
      <w:pPr>
        <w:ind w:left="420" w:firstLine="424"/>
        <w:spacing w:after="0" w:line="288" w:lineRule="auto"/>
        <w:rPr>
          <w:sz w:val="20"/>
          <w:szCs w:val="20"/>
          <w:color w:val="auto"/>
        </w:rPr>
      </w:pPr>
      <w:r>
        <w:rPr>
          <w:rFonts w:ascii="Arial" w:cs="Arial" w:eastAsia="Arial" w:hAnsi="Arial"/>
          <w:sz w:val="16"/>
          <w:szCs w:val="16"/>
          <w:color w:val="auto"/>
        </w:rPr>
        <w:t>We launched our business on the premise that no one should be precluded from investing on the basis of prohibitive transaction costs or market inexperience. We thus designed a platform around an elegant user experience integrating clear and relevant market data, social collaboration and best-in-class trade execution, finding that by delivering our vision through a purpose-built technology infrastructure we could disrupt traditional investing conventions. Over the last eight years we have continuously enhanced our technology and built a comprehensive, user-oriented and fully licensed cloud-based platform. This serves as a foundation from which we execute our growth strategies with an operating efficiency that allows us to offer commission rates that are approximately one-fifth of the average rate offered by the leading players in Hong Kong, according to Oliver Wyman, creating a massive barrier to entry. As of December 31, 2017, approximately 60% of our workforce is dedicated to research and development, reflecting the degree to which technological excellence is entrenched in every aspect of our business.</w:t>
      </w:r>
    </w:p>
    <w:p>
      <w:pPr>
        <w:spacing w:after="0" w:line="167" w:lineRule="exact"/>
        <w:rPr>
          <w:sz w:val="20"/>
          <w:szCs w:val="20"/>
          <w:color w:val="auto"/>
        </w:rPr>
      </w:pPr>
    </w:p>
    <w:p>
      <w:pPr>
        <w:ind w:left="420" w:right="20" w:firstLine="424"/>
        <w:spacing w:after="0" w:line="274" w:lineRule="auto"/>
        <w:rPr>
          <w:sz w:val="20"/>
          <w:szCs w:val="20"/>
          <w:color w:val="auto"/>
        </w:rPr>
      </w:pPr>
      <w:r>
        <w:rPr>
          <w:rFonts w:ascii="Arial" w:cs="Arial" w:eastAsia="Arial" w:hAnsi="Arial"/>
          <w:sz w:val="17"/>
          <w:szCs w:val="17"/>
          <w:color w:val="auto"/>
        </w:rPr>
        <w:t xml:space="preserve">We provide investing services through our proprietary digital platform, </w:t>
      </w:r>
      <w:r>
        <w:rPr>
          <w:rFonts w:ascii="Arial" w:cs="Arial" w:eastAsia="Arial" w:hAnsi="Arial"/>
          <w:sz w:val="17"/>
          <w:szCs w:val="17"/>
          <w:i w:val="1"/>
          <w:iCs w:val="1"/>
          <w:color w:val="auto"/>
        </w:rPr>
        <w:t>Futu NiuNiu</w:t>
      </w:r>
      <w:r>
        <w:rPr>
          <w:rFonts w:ascii="Arial" w:cs="Arial" w:eastAsia="Arial" w:hAnsi="Arial"/>
          <w:sz w:val="17"/>
          <w:szCs w:val="17"/>
          <w:color w:val="auto"/>
        </w:rPr>
        <w:t>, a highly integrated application accessible through any mobile device, tablet or desktop. Our primary fee-generating services include trade execution and margin financing which allow our clients to trade securities, such as stocks, warrants, options and exchange-traded funds, or ETFs, across different markets. We surround our trading and margin financing services and enhance our user and client experience with market data and news, research, as well as powerful analytical tools, providing our clients with a data rich foundation to simplify the investing decision-making process.</w:t>
      </w:r>
    </w:p>
    <w:p>
      <w:pPr>
        <w:spacing w:after="0" w:line="173" w:lineRule="exact"/>
        <w:rPr>
          <w:sz w:val="20"/>
          <w:szCs w:val="20"/>
          <w:color w:val="auto"/>
        </w:rPr>
      </w:pPr>
    </w:p>
    <w:p>
      <w:pPr>
        <w:ind w:left="420" w:right="460" w:firstLine="424"/>
        <w:spacing w:after="0" w:line="275" w:lineRule="auto"/>
        <w:rPr>
          <w:sz w:val="20"/>
          <w:szCs w:val="20"/>
          <w:color w:val="auto"/>
        </w:rPr>
      </w:pPr>
      <w:r>
        <w:rPr>
          <w:rFonts w:ascii="Arial" w:cs="Arial" w:eastAsia="Arial" w:hAnsi="Arial"/>
          <w:sz w:val="18"/>
          <w:szCs w:val="18"/>
          <w:color w:val="auto"/>
        </w:rPr>
        <w:t xml:space="preserve">We broaden our reach and promote the exchange of information through </w:t>
      </w:r>
      <w:r>
        <w:rPr>
          <w:rFonts w:ascii="Arial" w:cs="Arial" w:eastAsia="Arial" w:hAnsi="Arial"/>
          <w:sz w:val="18"/>
          <w:szCs w:val="18"/>
          <w:i w:val="1"/>
          <w:iCs w:val="1"/>
          <w:color w:val="auto"/>
        </w:rPr>
        <w:t>NiuNiu Community</w:t>
      </w:r>
      <w:r>
        <w:rPr>
          <w:rFonts w:ascii="Arial" w:cs="Arial" w:eastAsia="Arial" w:hAnsi="Arial"/>
          <w:sz w:val="18"/>
          <w:szCs w:val="18"/>
          <w:color w:val="auto"/>
        </w:rPr>
        <w:t>, our social network services. In contrast to traditional investing platforms and other online brokers, we have embedded</w:t>
      </w:r>
    </w:p>
    <w:p>
      <w:pPr>
        <w:spacing w:after="0" w:line="200" w:lineRule="exact"/>
        <w:rPr>
          <w:sz w:val="20"/>
          <w:szCs w:val="20"/>
          <w:color w:val="auto"/>
        </w:rPr>
      </w:pPr>
    </w:p>
    <w:p>
      <w:pPr>
        <w:spacing w:after="0" w:line="40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7"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201930</wp:posOffset>
            </wp:positionV>
            <wp:extent cx="6961505" cy="6202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1505" cy="6202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spacing w:after="0" w:line="254" w:lineRule="auto"/>
        <w:rPr>
          <w:sz w:val="20"/>
          <w:szCs w:val="20"/>
          <w:color w:val="auto"/>
        </w:rPr>
      </w:pPr>
      <w:r>
        <w:rPr>
          <w:rFonts w:ascii="Arial" w:cs="Arial" w:eastAsia="Arial" w:hAnsi="Arial"/>
          <w:sz w:val="18"/>
          <w:szCs w:val="18"/>
          <w:color w:val="auto"/>
        </w:rPr>
        <w:t xml:space="preserve">social media tools to create a network centered around our users and provide connectivity to users, investors, companies, analysts, media and key opinion leaders. This fosters the free flow of information, reduces information asymmetry and supports the investing decision-making process. For instance, users can exchange market views, watch live broadcasts of corporate events and participate in investment education courses offered through the </w:t>
      </w:r>
      <w:r>
        <w:rPr>
          <w:rFonts w:ascii="Arial" w:cs="Arial" w:eastAsia="Arial" w:hAnsi="Arial"/>
          <w:sz w:val="18"/>
          <w:szCs w:val="18"/>
          <w:i w:val="1"/>
          <w:iCs w:val="1"/>
          <w:color w:val="auto"/>
        </w:rPr>
        <w:t>NiuNiu Classroom</w:t>
      </w:r>
      <w:r>
        <w:rPr>
          <w:rFonts w:ascii="Arial" w:cs="Arial" w:eastAsia="Arial" w:hAnsi="Arial"/>
          <w:sz w:val="18"/>
          <w:szCs w:val="18"/>
          <w:color w:val="auto"/>
        </w:rPr>
        <w:t>. Importantly, our social network serves as a powerful engagement tool where in June 2018 over 150,000 of our users were active on a daily basis, using our mobile app for an average of 26 minutes and providing invaluable user data which informs our product development and monetization efforts.</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We have a young, active and rapidly expanding user and client base. Our clients are, on average, 34 years old and generally high earning.</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Approximately 45.2% of our clients work in internet, information technology or finance roles. On average, a client who traded in 2017 executed</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over 180 trades with a total trading volume of HK$7.7 million (US$1.0 million). In 2017, on average, a paying client had account balance of</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HK$554,379 (US$70,958). Furthermore, our client base is loyal. We retained over 97% of our paying client base on a quarterly basis in 2017. We</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grow our client base through organic growth, direct marketing through digital channels, corporate services and offline advertising. For the six</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months ended June 30, 2018, approximately 53.8% of our client acquisition was organic.</w:t>
      </w:r>
    </w:p>
    <w:p>
      <w:pPr>
        <w:spacing w:after="0" w:line="208" w:lineRule="exact"/>
        <w:rPr>
          <w:sz w:val="20"/>
          <w:szCs w:val="20"/>
          <w:color w:val="auto"/>
        </w:rPr>
      </w:pPr>
    </w:p>
    <w:p>
      <w:pPr>
        <w:ind w:left="420" w:right="100" w:firstLine="424"/>
        <w:spacing w:after="0" w:line="309" w:lineRule="auto"/>
        <w:rPr>
          <w:sz w:val="20"/>
          <w:szCs w:val="20"/>
          <w:color w:val="auto"/>
        </w:rPr>
      </w:pPr>
      <w:r>
        <w:rPr>
          <w:rFonts w:ascii="Arial" w:cs="Arial" w:eastAsia="Arial" w:hAnsi="Arial"/>
          <w:sz w:val="16"/>
          <w:szCs w:val="16"/>
          <w:color w:val="auto"/>
        </w:rPr>
        <w:t>We work closely with our strategic investor, Tencent, across a number of functions in a mutually beneficial relationship. Our close collaboration is in part driven by our shared values of technological excellence and innovation. Collaborating with Tencent creates meaningful and sustainable advantages that our regional and global peers cannot replicate, such as user access and transaction infrastructure.</w:t>
      </w:r>
    </w:p>
    <w:p>
      <w:pPr>
        <w:spacing w:after="0" w:line="149" w:lineRule="exact"/>
        <w:rPr>
          <w:sz w:val="20"/>
          <w:szCs w:val="20"/>
          <w:color w:val="auto"/>
        </w:rPr>
      </w:pPr>
    </w:p>
    <w:p>
      <w:pPr>
        <w:ind w:left="420" w:right="40" w:firstLine="424"/>
        <w:spacing w:after="0" w:line="274" w:lineRule="auto"/>
        <w:rPr>
          <w:sz w:val="20"/>
          <w:szCs w:val="20"/>
          <w:color w:val="auto"/>
        </w:rPr>
      </w:pPr>
      <w:r>
        <w:rPr>
          <w:rFonts w:ascii="Arial" w:cs="Arial" w:eastAsia="Arial" w:hAnsi="Arial"/>
          <w:sz w:val="17"/>
          <w:szCs w:val="17"/>
          <w:color w:val="auto"/>
        </w:rPr>
        <w:t>We have achieved significant growth in our user and client base, client assets, trading volumes and revenues. Our paying clients increased by 125.8% from 35,456 as of December 31, 2016 to 80,057 as of December 31, 2017. Our growing paying client base allowed us to increase client assets and trading volumes by 186.0% and 164.4%, respectively, in 2017 as compared to 2016. This drove revenues of HK$311.7 million (US$39.9 million) in 2017, representing a 258.2% increase from HK$87.0 million in 2016. Over this same period we were able to decrease our net loss from HK$98.5 million in 2016 to HK$8.1 million (US$1.0 million) in 2017.</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Industry</w:t>
      </w:r>
    </w:p>
    <w:p>
      <w:pPr>
        <w:spacing w:after="0" w:line="119" w:lineRule="exact"/>
        <w:rPr>
          <w:sz w:val="20"/>
          <w:szCs w:val="20"/>
          <w:color w:val="auto"/>
        </w:rPr>
      </w:pPr>
    </w:p>
    <w:p>
      <w:pPr>
        <w:ind w:left="420" w:right="20" w:firstLine="424"/>
        <w:spacing w:after="0" w:line="262" w:lineRule="auto"/>
        <w:rPr>
          <w:sz w:val="20"/>
          <w:szCs w:val="20"/>
          <w:color w:val="auto"/>
        </w:rPr>
      </w:pPr>
      <w:r>
        <w:rPr>
          <w:rFonts w:ascii="Arial" w:cs="Arial" w:eastAsia="Arial" w:hAnsi="Arial"/>
          <w:sz w:val="18"/>
          <w:szCs w:val="18"/>
          <w:color w:val="auto"/>
        </w:rPr>
        <w:t>With popularization of mobile technology and growing acceptance of online trading, the global online securities market has grown faster than the overall securities market, expanding at a compound annual growth rate, or CAGR, of 23.1% over the past six years, reaching US$34.8 trillion in 2017. The online securities market is characterized by the following trends:</w:t>
      </w:r>
    </w:p>
    <w:p>
      <w:pPr>
        <w:spacing w:after="0" w:line="87" w:lineRule="exact"/>
        <w:rPr>
          <w:sz w:val="20"/>
          <w:szCs w:val="20"/>
          <w:color w:val="auto"/>
        </w:rPr>
      </w:pPr>
    </w:p>
    <w:p>
      <w:pPr>
        <w:ind w:left="1240" w:right="500" w:hanging="407"/>
        <w:spacing w:after="0" w:line="275"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traditional brokers are shifting online while purely offline brokers are increasingly at a disadvantage or, in some cases, exiting the market altogether;</w:t>
      </w:r>
    </w:p>
    <w:p>
      <w:pPr>
        <w:spacing w:after="0" w:line="76" w:lineRule="exact"/>
        <w:rPr>
          <w:rFonts w:ascii="Arial" w:cs="Arial" w:eastAsia="Arial" w:hAnsi="Arial"/>
          <w:sz w:val="18"/>
          <w:szCs w:val="18"/>
          <w:color w:val="auto"/>
        </w:rPr>
      </w:pPr>
    </w:p>
    <w:p>
      <w:pPr>
        <w:ind w:left="1240" w:right="140" w:hanging="407"/>
        <w:spacing w:after="0" w:line="305"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internet giants continue to invest in online brokerage services, demonstrating the industry’s recognition of online brokerage services as an important component of a financial services business and potentially a gateway to broader opportunities;</w:t>
      </w:r>
    </w:p>
    <w:p>
      <w:pPr>
        <w:spacing w:after="0" w:line="53" w:lineRule="exact"/>
        <w:rPr>
          <w:rFonts w:ascii="Arial" w:cs="Arial" w:eastAsia="Arial" w:hAnsi="Arial"/>
          <w:sz w:val="17"/>
          <w:szCs w:val="17"/>
          <w:color w:val="auto"/>
        </w:rPr>
      </w:pPr>
    </w:p>
    <w:p>
      <w:pPr>
        <w:ind w:left="1240" w:right="260" w:hanging="407"/>
        <w:spacing w:after="0" w:line="275"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barriers to entry remain high particularly relating to building a secure infrastructure that can transcend geographies and asset classes;</w:t>
      </w:r>
    </w:p>
    <w:p>
      <w:pPr>
        <w:spacing w:after="0" w:line="76" w:lineRule="exact"/>
        <w:rPr>
          <w:rFonts w:ascii="Arial" w:cs="Arial" w:eastAsia="Arial" w:hAnsi="Arial"/>
          <w:sz w:val="18"/>
          <w:szCs w:val="18"/>
          <w:color w:val="auto"/>
        </w:rPr>
      </w:pPr>
    </w:p>
    <w:p>
      <w:pPr>
        <w:ind w:left="1240" w:hanging="40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barriers to entry remain high particularly relating to regulatory and capital requirements;</w:t>
      </w:r>
    </w:p>
    <w:p>
      <w:pPr>
        <w:spacing w:after="0" w:line="128" w:lineRule="exact"/>
        <w:rPr>
          <w:rFonts w:ascii="Arial" w:cs="Arial" w:eastAsia="Arial" w:hAnsi="Arial"/>
          <w:sz w:val="18"/>
          <w:szCs w:val="18"/>
          <w:color w:val="auto"/>
        </w:rPr>
      </w:pPr>
    </w:p>
    <w:p>
      <w:pPr>
        <w:ind w:left="1240" w:right="140" w:hanging="407"/>
        <w:spacing w:after="0" w:line="275"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user experience remains a key competitive strength as digitally born consumers become a larger component of the addressable market; and</w:t>
      </w:r>
    </w:p>
    <w:p>
      <w:pPr>
        <w:spacing w:after="0" w:line="76" w:lineRule="exact"/>
        <w:rPr>
          <w:rFonts w:ascii="Arial" w:cs="Arial" w:eastAsia="Arial" w:hAnsi="Arial"/>
          <w:sz w:val="18"/>
          <w:szCs w:val="18"/>
          <w:color w:val="auto"/>
        </w:rPr>
      </w:pPr>
    </w:p>
    <w:p>
      <w:pPr>
        <w:ind w:left="1240" w:right="1040" w:hanging="407"/>
        <w:spacing w:after="0" w:line="275"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models are evolving as competition intensifies, with ancillary and other value-added services underlying platform differentiation.</w:t>
      </w:r>
    </w:p>
    <w:p>
      <w:pPr>
        <w:spacing w:after="0" w:line="200" w:lineRule="exact"/>
        <w:rPr>
          <w:sz w:val="20"/>
          <w:szCs w:val="20"/>
          <w:color w:val="auto"/>
        </w:rPr>
      </w:pPr>
    </w:p>
    <w:p>
      <w:pPr>
        <w:spacing w:after="0" w:line="40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7"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201930</wp:posOffset>
            </wp:positionV>
            <wp:extent cx="6961505" cy="6526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1505" cy="65265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Among global markets, Hong Kong is the world’s fourth largest online securities market, with annual trading volume growing from</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US$404.5 billion in 2012 to US$1.6 trillion in 2017, representing a CAGR of 31.3%, which is expected to reach US$3.1 trillion in 2022; the United</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States is the world’s second largest online securities market with annual trading volume growing from US$5.5 trillion in 2012 to US$8.6 trillion in</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2017, which is expected to reach US$11.6 trillion in 2022.</w:t>
      </w:r>
    </w:p>
    <w:p>
      <w:pPr>
        <w:spacing w:after="0" w:line="208" w:lineRule="exact"/>
        <w:rPr>
          <w:sz w:val="20"/>
          <w:szCs w:val="20"/>
          <w:color w:val="auto"/>
        </w:rPr>
      </w:pPr>
    </w:p>
    <w:p>
      <w:pPr>
        <w:ind w:left="420" w:right="200" w:firstLine="424"/>
        <w:spacing w:after="0" w:line="255" w:lineRule="auto"/>
        <w:rPr>
          <w:sz w:val="20"/>
          <w:szCs w:val="20"/>
          <w:color w:val="auto"/>
        </w:rPr>
      </w:pPr>
      <w:r>
        <w:rPr>
          <w:rFonts w:ascii="Arial" w:cs="Arial" w:eastAsia="Arial" w:hAnsi="Arial"/>
          <w:sz w:val="18"/>
          <w:szCs w:val="18"/>
          <w:color w:val="auto"/>
        </w:rPr>
        <w:t>China-based investors have contributed to the aforementioned market growth by deploying a significant proportion of their increasing overseas investable assets in online securities trading, especially in Hong Kong and the United States. Financial assets accounted for the largest allocation of overseas investment in 2017, among which stock investment reached US$0.2 trillion, representing a CAGR of 33.8% from 2012 to 2017. Hong Kong market is particularly favored by China-based investors, because of its geographical and cultural proximity to China as well as the large number of listed Chinese companies.</w:t>
      </w:r>
    </w:p>
    <w:p>
      <w:pPr>
        <w:spacing w:after="0" w:line="189" w:lineRule="exact"/>
        <w:rPr>
          <w:sz w:val="20"/>
          <w:szCs w:val="20"/>
          <w:color w:val="auto"/>
        </w:rPr>
      </w:pPr>
    </w:p>
    <w:p>
      <w:pPr>
        <w:ind w:left="420" w:right="160" w:firstLine="424"/>
        <w:spacing w:after="0" w:line="257" w:lineRule="auto"/>
        <w:rPr>
          <w:sz w:val="20"/>
          <w:szCs w:val="20"/>
          <w:color w:val="auto"/>
        </w:rPr>
      </w:pPr>
      <w:r>
        <w:rPr>
          <w:rFonts w:ascii="Arial" w:cs="Arial" w:eastAsia="Arial" w:hAnsi="Arial"/>
          <w:sz w:val="18"/>
          <w:szCs w:val="18"/>
          <w:color w:val="auto"/>
        </w:rPr>
        <w:t>As a result, China’s overseas online retail securities market represents a unique opportunity, combining the high growth of the global online securities market coupled with expanding overseas asset allocation by China-based investors. In 2017, the trading volume of China’s overseas online retail securities market reached US$297.5 billion, growing at a CAGR of 90.8% from 2012 to 2017. The market size is expected to reach nearly US$1.4 trillion in 2022, representing a CAGR of 35.4% from 2017 to 2022.</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Strengths</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that the following competitive strengths contribute to our success and differentiate us from our competitors:</w:t>
      </w:r>
    </w:p>
    <w:p>
      <w:pPr>
        <w:spacing w:after="0" w:line="129" w:lineRule="exact"/>
        <w:rPr>
          <w:sz w:val="20"/>
          <w:szCs w:val="20"/>
          <w:color w:val="auto"/>
        </w:rPr>
      </w:pPr>
    </w:p>
    <w:p>
      <w:pPr>
        <w:ind w:left="1240" w:hanging="299"/>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premier investing experience;</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closed-loop, proprietary technology infrastructure;</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attractive user and client base; and</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operating leverage.</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Strategies</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intend to pursue the following strategies to further expand our business:</w:t>
      </w:r>
    </w:p>
    <w:p>
      <w:pPr>
        <w:spacing w:after="0" w:line="129" w:lineRule="exact"/>
        <w:rPr>
          <w:sz w:val="20"/>
          <w:szCs w:val="20"/>
          <w:color w:val="auto"/>
        </w:rPr>
      </w:pPr>
    </w:p>
    <w:p>
      <w:pPr>
        <w:ind w:left="1240" w:hanging="299"/>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 and monetize our client base;</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broaden our core service offerings;</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broaden our financial services footprint; and</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our platform.</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Challenges</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Our ability to realize our mission and execute our strategies is subject to risks and uncertainties, including those relating to our ability to:</w:t>
      </w:r>
    </w:p>
    <w:p>
      <w:pPr>
        <w:spacing w:after="0" w:line="152" w:lineRule="exact"/>
        <w:rPr>
          <w:sz w:val="20"/>
          <w:szCs w:val="20"/>
          <w:color w:val="auto"/>
        </w:rPr>
      </w:pPr>
    </w:p>
    <w:p>
      <w:pPr>
        <w:ind w:left="1240" w:hanging="29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our future growth;</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navigate a complex and evolving regulatory environment;</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 personalized and competitive online brokerage and other financial services;</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utilization of our services by existing and new users;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457"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201930</wp:posOffset>
            </wp:positionV>
            <wp:extent cx="6961505" cy="5793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1505" cy="5793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40" w:hanging="299"/>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 attractive commission fees while driving the growth and profitability of our business;</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 and enhance our relationships with our business partners, including funding partners for our margin financing business;</w:t>
      </w:r>
    </w:p>
    <w:p>
      <w:pPr>
        <w:spacing w:after="0" w:line="140" w:lineRule="exact"/>
        <w:rPr>
          <w:rFonts w:ascii="Arial" w:cs="Arial" w:eastAsia="Arial" w:hAnsi="Arial"/>
          <w:sz w:val="17"/>
          <w:szCs w:val="17"/>
          <w:color w:val="auto"/>
        </w:rPr>
      </w:pPr>
    </w:p>
    <w:p>
      <w:pPr>
        <w:ind w:left="1240" w:right="860" w:hanging="299"/>
        <w:spacing w:after="0" w:line="275"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 our technology infrastructure to support the growth of our business and maintain the security of our system and the confidentiality of the information provided and utilized across our system;</w:t>
      </w:r>
    </w:p>
    <w:p>
      <w:pPr>
        <w:spacing w:after="0" w:line="76" w:lineRule="exact"/>
        <w:rPr>
          <w:rFonts w:ascii="Arial" w:cs="Arial" w:eastAsia="Arial" w:hAnsi="Arial"/>
          <w:sz w:val="18"/>
          <w:szCs w:val="18"/>
          <w:color w:val="auto"/>
        </w:rPr>
      </w:pPr>
    </w:p>
    <w:p>
      <w:pPr>
        <w:ind w:left="1240" w:hanging="299"/>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 our operational efficiency;</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retain and motivate talented employees to support our business growth;</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navigate economic condition and fluctuation; and</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defend ourselves against legal and regulatory actions, such as actions involving intellectual property or privacy claims.</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Corporate History and Structure</w:t>
      </w:r>
    </w:p>
    <w:p>
      <w:pPr>
        <w:spacing w:after="0" w:line="119" w:lineRule="exact"/>
        <w:rPr>
          <w:sz w:val="20"/>
          <w:szCs w:val="20"/>
          <w:color w:val="auto"/>
        </w:rPr>
      </w:pPr>
    </w:p>
    <w:p>
      <w:pPr>
        <w:ind w:left="420" w:right="500" w:firstLine="424"/>
        <w:spacing w:after="0" w:line="305" w:lineRule="auto"/>
        <w:rPr>
          <w:sz w:val="20"/>
          <w:szCs w:val="20"/>
          <w:color w:val="auto"/>
        </w:rPr>
      </w:pPr>
      <w:r>
        <w:rPr>
          <w:rFonts w:ascii="Arial" w:cs="Arial" w:eastAsia="Arial" w:hAnsi="Arial"/>
          <w:sz w:val="17"/>
          <w:szCs w:val="17"/>
          <w:color w:val="auto"/>
        </w:rPr>
        <w:t>We commenced our operations in December 2007 through Shenzhen Futu Network Technology Co., Ltd., or Shenzhen Futu, a limited liability company established under the laws of the PRC, to provide internet technology and software development services.</w:t>
      </w:r>
    </w:p>
    <w:p>
      <w:pPr>
        <w:spacing w:after="0" w:line="148" w:lineRule="exact"/>
        <w:rPr>
          <w:sz w:val="20"/>
          <w:szCs w:val="20"/>
          <w:color w:val="auto"/>
        </w:rPr>
      </w:pPr>
    </w:p>
    <w:p>
      <w:pPr>
        <w:ind w:left="420" w:firstLine="424"/>
        <w:spacing w:after="0" w:line="287" w:lineRule="auto"/>
        <w:rPr>
          <w:sz w:val="20"/>
          <w:szCs w:val="20"/>
          <w:color w:val="auto"/>
        </w:rPr>
      </w:pPr>
      <w:r>
        <w:rPr>
          <w:rFonts w:ascii="Arial" w:cs="Arial" w:eastAsia="Arial" w:hAnsi="Arial"/>
          <w:sz w:val="16"/>
          <w:szCs w:val="16"/>
          <w:color w:val="auto"/>
        </w:rPr>
        <w:t>Futu Securities International (Hong Kong) Limited, or Futu International Hong Kong, was incorporated under the laws of Hong Kong by Mr. Leaf Hua Li, our founder, chairman and chief executive officer in April 2012. In October 2012, Futu International Hong Kong became a securities dealer registered with the HK SFC by obtaining a Type 1 License for dealing in securities. Futu International Hong Kong obtained a Type 2 License for dealing in future contracts, a Type 4 License for advising on securities, a Type 9 License for asset management and a Type 5 License for advising on future contracts from the HK SFC subsequently in July 2013, June 2015, July 2015, and August 2018, respectively. In October 2014, Mr. Li transferred all of Futu International Hong Kong’s shares to Futu Holdings Limited, or Futu Holdings, our holding company. Futu International Hong Kong established two wholly-owned PRC subsidiaries, Shenzhen Shidai Futu Consulting Limited, or Shenzhen Shidai, and Shenzhen Qianhai Fuzhitu Investment Consulting Management Limited, or Shenzhen Qianhai, in May 2015 and August 2015, respectively. As of the date of this prospectus, we conduct most aspects of our operations through Futu International Hong Kong in Hong Kong.</w:t>
      </w:r>
    </w:p>
    <w:p>
      <w:pPr>
        <w:spacing w:after="0" w:line="168" w:lineRule="exact"/>
        <w:rPr>
          <w:sz w:val="20"/>
          <w:szCs w:val="20"/>
          <w:color w:val="auto"/>
        </w:rPr>
      </w:pPr>
    </w:p>
    <w:p>
      <w:pPr>
        <w:ind w:left="420" w:right="80" w:firstLine="424"/>
        <w:spacing w:after="0" w:line="274" w:lineRule="auto"/>
        <w:rPr>
          <w:sz w:val="20"/>
          <w:szCs w:val="20"/>
          <w:color w:val="auto"/>
        </w:rPr>
      </w:pPr>
      <w:r>
        <w:rPr>
          <w:rFonts w:ascii="Arial" w:cs="Arial" w:eastAsia="Arial" w:hAnsi="Arial"/>
          <w:sz w:val="17"/>
          <w:szCs w:val="17"/>
          <w:color w:val="auto"/>
        </w:rPr>
        <w:t>In April 2014, Futu Holdings was incorporated under the laws of the Cayman Islands as our holding company. In May 2014, Futu Securities (Hong Kong) Limited, or Futu Hong Kong, was incorporated under the laws of in Hong Kong as a wholly-owned subsidiary of Futu Holdings. Futu Hong Kong established two wholly-owned PRC subsidiaries, Shensi Network Technology (Beijing) Co., Ltd., or Shensi Beijing, and Futu Network Technology (Shenzhen) Co., Ltd., in September 2014 and October 2015, respectively, which, together with Shenzhen Shidai and Shenzhen Qianhai, are referred to as our wholly-foreign-owned entities, or PRC WFOEs, in this prospectus.</w:t>
      </w:r>
    </w:p>
    <w:p>
      <w:pPr>
        <w:spacing w:after="0" w:line="173" w:lineRule="exact"/>
        <w:rPr>
          <w:sz w:val="20"/>
          <w:szCs w:val="20"/>
          <w:color w:val="auto"/>
        </w:rPr>
      </w:pPr>
    </w:p>
    <w:p>
      <w:pPr>
        <w:ind w:left="420" w:right="40" w:firstLine="424"/>
        <w:spacing w:after="0" w:line="290" w:lineRule="auto"/>
        <w:rPr>
          <w:sz w:val="20"/>
          <w:szCs w:val="20"/>
          <w:color w:val="auto"/>
        </w:rPr>
      </w:pPr>
      <w:r>
        <w:rPr>
          <w:rFonts w:ascii="Arial" w:cs="Arial" w:eastAsia="Arial" w:hAnsi="Arial"/>
          <w:sz w:val="16"/>
          <w:szCs w:val="16"/>
          <w:color w:val="auto"/>
        </w:rPr>
        <w:t>Due to restrictions imposed by PRC laws and regulations on foreign ownership of companies that engage in internet and other related business, Shensi Beijing later entered into a series of contractual arrangements with Shenzhen Futu, which we refer to as our variable interest entity, or VIE, in this prospectus, and its shareholders. For more details, see “Corporate History and Structure—Contractual Arrangements with Our VIE and Its Shareholders.” As a result of our direct ownership in our PRC WFOEs and the variable interest entity contractual arrangements, we are regarded as the primary beneficiary of our VIE. We treated our VIE and its subsidiary as our consolidated affiliated entities under generally accepted accounting principles in the United States, or U.S. GAAP, and have consolidated the financial results of these entities in our consolidated financial statements in accordance with U.S. GAAP. For the years ended December 31, 2016 and 2017, we generated 2.9% and 1.5% of</w:t>
      </w:r>
    </w:p>
    <w:p>
      <w:pPr>
        <w:spacing w:after="0" w:line="200" w:lineRule="exact"/>
        <w:rPr>
          <w:sz w:val="20"/>
          <w:szCs w:val="20"/>
          <w:color w:val="auto"/>
        </w:rPr>
      </w:pPr>
    </w:p>
    <w:p>
      <w:pPr>
        <w:spacing w:after="0" w:line="39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240" w:top="457"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201930</wp:posOffset>
            </wp:positionV>
            <wp:extent cx="6961505" cy="6543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1505" cy="65436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right="320"/>
        <w:spacing w:after="0" w:line="275" w:lineRule="auto"/>
        <w:rPr>
          <w:sz w:val="20"/>
          <w:szCs w:val="20"/>
          <w:color w:val="auto"/>
        </w:rPr>
      </w:pPr>
      <w:r>
        <w:rPr>
          <w:rFonts w:ascii="Arial" w:cs="Arial" w:eastAsia="Arial" w:hAnsi="Arial"/>
          <w:sz w:val="18"/>
          <w:szCs w:val="18"/>
          <w:color w:val="auto"/>
        </w:rPr>
        <w:t>our total revenues through our VIE in China, respectively, whose assets accounted for 0.7% and 0.2% of our total assets during the same years, respectively.</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following diagram illustrates our corporate structure, including our significant subsidiaries and our VIE,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Note:</w:t>
      </w:r>
    </w:p>
    <w:p>
      <w:pPr>
        <w:ind w:left="720" w:right="180" w:hanging="303"/>
        <w:spacing w:after="0" w:line="236" w:lineRule="auto"/>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Leaf Hua Li and Ms. Lei Li are beneficiary owners of our company and hold 85% and 15% equity interests, respectively, in Shenzhen Futu. Mr. Li is the founder, chairman and chief executive officer of our company and Ms. Li is Mr. Li’s spouse.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Implication of Being an Emerging Growth Company</w:t>
      </w:r>
    </w:p>
    <w:p>
      <w:pPr>
        <w:spacing w:after="0" w:line="119" w:lineRule="exact"/>
        <w:rPr>
          <w:sz w:val="20"/>
          <w:szCs w:val="20"/>
          <w:color w:val="auto"/>
        </w:rPr>
      </w:pPr>
    </w:p>
    <w:p>
      <w:pPr>
        <w:ind w:left="420" w:firstLine="424"/>
        <w:spacing w:after="0" w:line="253"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spacing w:after="0" w:line="191" w:lineRule="exact"/>
        <w:rPr>
          <w:sz w:val="20"/>
          <w:szCs w:val="20"/>
          <w:color w:val="auto"/>
        </w:rPr>
      </w:pPr>
    </w:p>
    <w:p>
      <w:pPr>
        <w:ind w:left="420" w:right="20" w:firstLine="424"/>
        <w:spacing w:after="0" w:line="309" w:lineRule="auto"/>
        <w:rPr>
          <w:sz w:val="20"/>
          <w:szCs w:val="20"/>
          <w:color w:val="auto"/>
        </w:rPr>
      </w:pPr>
      <w:r>
        <w:rPr>
          <w:rFonts w:ascii="Arial" w:cs="Arial" w:eastAsia="Arial" w:hAnsi="Arial"/>
          <w:sz w:val="16"/>
          <w:szCs w:val="16"/>
          <w:color w:val="auto"/>
        </w:rPr>
        <w:t>We will remain an emerging growth company until the earliest of (a) the last day of the fiscal year during which we have total annual gross revenues of at least US$1.07 billion; (b) the last day of our fiscal year following the fifth anniversary of the completion of this offering; (c) the date on which we have, during the preceding three-year period, issued more than US$1.00 billion in non-convertible debt; or (d) the date on which</w:t>
      </w:r>
    </w:p>
    <w:p>
      <w:pPr>
        <w:spacing w:after="0" w:line="200" w:lineRule="exact"/>
        <w:rPr>
          <w:sz w:val="20"/>
          <w:szCs w:val="20"/>
          <w:color w:val="auto"/>
        </w:rPr>
      </w:pPr>
    </w:p>
    <w:p>
      <w:pPr>
        <w:spacing w:after="0" w:line="37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240" w:top="457"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201930</wp:posOffset>
            </wp:positionV>
            <wp:extent cx="6961505" cy="6680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1505" cy="66802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spacing w:after="0" w:line="257" w:lineRule="auto"/>
        <w:rPr>
          <w:sz w:val="20"/>
          <w:szCs w:val="20"/>
          <w:color w:val="auto"/>
        </w:rPr>
      </w:pPr>
      <w:r>
        <w:rPr>
          <w:rFonts w:ascii="Arial" w:cs="Arial" w:eastAsia="Arial" w:hAnsi="Arial"/>
          <w:sz w:val="18"/>
          <w:szCs w:val="18"/>
          <w:color w:val="auto"/>
        </w:rPr>
        <w:t>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Corporate Information</w:t>
      </w:r>
    </w:p>
    <w:p>
      <w:pPr>
        <w:spacing w:after="0" w:line="119" w:lineRule="exact"/>
        <w:rPr>
          <w:sz w:val="20"/>
          <w:szCs w:val="20"/>
          <w:color w:val="auto"/>
        </w:rPr>
      </w:pPr>
    </w:p>
    <w:p>
      <w:pPr>
        <w:ind w:left="420" w:right="60" w:firstLine="424"/>
        <w:spacing w:after="0" w:line="289" w:lineRule="auto"/>
        <w:rPr>
          <w:sz w:val="20"/>
          <w:szCs w:val="20"/>
          <w:color w:val="auto"/>
        </w:rPr>
      </w:pPr>
      <w:r>
        <w:rPr>
          <w:rFonts w:ascii="Arial" w:cs="Arial" w:eastAsia="Arial" w:hAnsi="Arial"/>
          <w:sz w:val="16"/>
          <w:szCs w:val="16"/>
          <w:color w:val="auto"/>
        </w:rPr>
        <w:t>Our principal executive offices are located at 11/F, Bangkok Bank Building, No. 18 Bonham Strand W, Sheung Wan, Hong Kong S.A.R., People’s Republic of China. Our telephone number at this address is +852 2523-3588. Our registered office in the Cayman Islands is located at the</w:t>
      </w:r>
    </w:p>
    <w:p>
      <w:pPr>
        <w:spacing w:after="0" w:line="1" w:lineRule="exact"/>
        <w:rPr>
          <w:sz w:val="20"/>
          <w:szCs w:val="20"/>
          <w:color w:val="auto"/>
        </w:rPr>
      </w:pPr>
    </w:p>
    <w:p>
      <w:pPr>
        <w:ind w:left="420"/>
        <w:spacing w:after="0"/>
        <w:tabs>
          <w:tab w:leader="none" w:pos="4020" w:val="left"/>
        </w:tabs>
        <w:rPr>
          <w:sz w:val="20"/>
          <w:szCs w:val="20"/>
          <w:color w:val="auto"/>
        </w:rPr>
      </w:pPr>
      <w:r>
        <w:rPr>
          <w:rFonts w:ascii="Arial" w:cs="Arial" w:eastAsia="Arial" w:hAnsi="Arial"/>
          <w:sz w:val="18"/>
          <w:szCs w:val="18"/>
          <w:color w:val="auto"/>
        </w:rPr>
        <w:t>offices of</w:t>
      </w:r>
      <w:r>
        <w:rPr>
          <w:sz w:val="20"/>
          <w:szCs w:val="20"/>
          <w:color w:val="auto"/>
        </w:rPr>
        <w:tab/>
      </w:r>
      <w:r>
        <w:rPr>
          <w:rFonts w:ascii="Arial" w:cs="Arial" w:eastAsia="Arial" w:hAnsi="Arial"/>
          <w:sz w:val="18"/>
          <w:szCs w:val="18"/>
          <w:color w:val="auto"/>
        </w:rPr>
        <w:t>.</w:t>
      </w:r>
    </w:p>
    <w:p>
      <w:pPr>
        <w:spacing w:after="0" w:line="208" w:lineRule="exact"/>
        <w:rPr>
          <w:sz w:val="20"/>
          <w:szCs w:val="20"/>
          <w:color w:val="auto"/>
        </w:rPr>
      </w:pPr>
    </w:p>
    <w:p>
      <w:pPr>
        <w:ind w:left="420" w:right="240" w:firstLine="424"/>
        <w:spacing w:after="0" w:line="289" w:lineRule="auto"/>
        <w:rPr>
          <w:sz w:val="20"/>
          <w:szCs w:val="20"/>
          <w:color w:val="auto"/>
        </w:rPr>
      </w:pPr>
      <w:r>
        <w:rPr>
          <w:rFonts w:ascii="Arial" w:cs="Arial" w:eastAsia="Arial" w:hAnsi="Arial"/>
          <w:sz w:val="16"/>
          <w:szCs w:val="16"/>
          <w:color w:val="auto"/>
        </w:rPr>
        <w:t>Investors should submit any inquiries to the address and telephone number of our principal executive offices. Our main website is www.futuholdings.com. The information contained on our website is not a part of this prospectus. Our agent for service of process in the United</w:t>
      </w:r>
    </w:p>
    <w:p>
      <w:pPr>
        <w:spacing w:after="0" w:line="1" w:lineRule="exact"/>
        <w:rPr>
          <w:sz w:val="20"/>
          <w:szCs w:val="20"/>
          <w:color w:val="auto"/>
        </w:rPr>
      </w:pPr>
    </w:p>
    <w:p>
      <w:pPr>
        <w:ind w:left="420"/>
        <w:spacing w:after="0"/>
        <w:tabs>
          <w:tab w:leader="none" w:pos="1620" w:val="left"/>
          <w:tab w:leader="none" w:pos="3520" w:val="left"/>
        </w:tabs>
        <w:rPr>
          <w:sz w:val="20"/>
          <w:szCs w:val="20"/>
          <w:color w:val="auto"/>
        </w:rPr>
      </w:pPr>
      <w:r>
        <w:rPr>
          <w:rFonts w:ascii="Arial" w:cs="Arial" w:eastAsia="Arial" w:hAnsi="Arial"/>
          <w:sz w:val="18"/>
          <w:szCs w:val="18"/>
          <w:color w:val="auto"/>
        </w:rPr>
        <w:t>States is</w:t>
      </w:r>
      <w:r>
        <w:rPr>
          <w:sz w:val="20"/>
          <w:szCs w:val="20"/>
          <w:color w:val="auto"/>
        </w:rPr>
        <w:tab/>
      </w:r>
      <w:r>
        <w:rPr>
          <w:rFonts w:ascii="Arial" w:cs="Arial" w:eastAsia="Arial" w:hAnsi="Arial"/>
          <w:sz w:val="18"/>
          <w:szCs w:val="18"/>
          <w:color w:val="auto"/>
        </w:rPr>
        <w:t>, located at</w:t>
      </w:r>
      <w:r>
        <w:rPr>
          <w:sz w:val="20"/>
          <w:szCs w:val="20"/>
          <w:color w:val="auto"/>
        </w:rPr>
        <w:tab/>
      </w:r>
      <w:r>
        <w:rPr>
          <w:rFonts w:ascii="Arial" w:cs="Arial" w:eastAsia="Arial" w:hAnsi="Arial"/>
          <w:sz w:val="13"/>
          <w:szCs w:val="13"/>
          <w:color w:val="auto"/>
        </w:rPr>
        <w:t>.</w:t>
      </w:r>
    </w:p>
    <w:p>
      <w:pPr>
        <w:spacing w:after="0" w:line="31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or the context otherwise requires, references in this prospectus to:</w:t>
      </w:r>
    </w:p>
    <w:p>
      <w:pPr>
        <w:spacing w:after="0" w:line="129" w:lineRule="exact"/>
        <w:rPr>
          <w:sz w:val="20"/>
          <w:szCs w:val="20"/>
          <w:color w:val="auto"/>
        </w:rPr>
      </w:pPr>
    </w:p>
    <w:p>
      <w:pPr>
        <w:ind w:left="1240" w:hanging="299"/>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“ADRs” are to the American depositary receipts that evidence our ADSs;</w:t>
      </w:r>
    </w:p>
    <w:p>
      <w:pPr>
        <w:spacing w:after="0" w:line="129" w:lineRule="exact"/>
        <w:rPr>
          <w:sz w:val="20"/>
          <w:szCs w:val="20"/>
          <w:color w:val="auto"/>
        </w:rPr>
      </w:pPr>
    </w:p>
    <w:p>
      <w:pPr>
        <w:ind w:left="940"/>
        <w:spacing w:after="0"/>
        <w:tabs>
          <w:tab w:leader="none" w:pos="1220" w:val="left"/>
          <w:tab w:leader="none" w:pos="7060" w:val="left"/>
        </w:tabs>
        <w:rPr>
          <w:sz w:val="20"/>
          <w:szCs w:val="20"/>
          <w:color w:val="auto"/>
        </w:rPr>
      </w:pPr>
      <w:r>
        <w:rPr>
          <w:rFonts w:ascii="Arial" w:cs="Arial" w:eastAsia="Arial" w:hAnsi="Arial"/>
          <w:sz w:val="18"/>
          <w:szCs w:val="18"/>
          <w:color w:val="auto"/>
        </w:rPr>
        <w:t>•</w:t>
        <w:tab/>
        <w:t>“ADSs” are to our American depositary shares, each of which represents</w:t>
      </w:r>
      <w:r>
        <w:rPr>
          <w:sz w:val="20"/>
          <w:szCs w:val="20"/>
          <w:color w:val="auto"/>
        </w:rPr>
        <w:tab/>
      </w:r>
      <w:r>
        <w:rPr>
          <w:rFonts w:ascii="Arial" w:cs="Arial" w:eastAsia="Arial" w:hAnsi="Arial"/>
          <w:sz w:val="15"/>
          <w:szCs w:val="15"/>
          <w:color w:val="auto"/>
        </w:rPr>
        <w:t>ordinary shares;</w:t>
      </w:r>
    </w:p>
    <w:p>
      <w:pPr>
        <w:spacing w:after="0" w:line="129" w:lineRule="exact"/>
        <w:rPr>
          <w:sz w:val="20"/>
          <w:szCs w:val="20"/>
          <w:color w:val="auto"/>
        </w:rPr>
      </w:pPr>
    </w:p>
    <w:p>
      <w:pPr>
        <w:ind w:left="1240" w:right="380" w:hanging="299"/>
        <w:spacing w:after="0" w:line="275"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rate” are to the ratio of the total time a service system is capable of being used during the market hours of the relevant equity markets;</w:t>
      </w:r>
    </w:p>
    <w:p>
      <w:pPr>
        <w:spacing w:after="0" w:line="76" w:lineRule="exact"/>
        <w:rPr>
          <w:rFonts w:ascii="Arial" w:cs="Arial" w:eastAsia="Arial" w:hAnsi="Arial"/>
          <w:sz w:val="18"/>
          <w:szCs w:val="18"/>
          <w:color w:val="auto"/>
        </w:rPr>
      </w:pPr>
    </w:p>
    <w:p>
      <w:pPr>
        <w:ind w:left="1240" w:right="240" w:hanging="299"/>
        <w:spacing w:after="0" w:line="275"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“China” or the “PRC” are to the People’s Republic of China, excluding, for the purposes of this prospectus only, Hong Kong, Macau and Taiwan;</w:t>
      </w:r>
    </w:p>
    <w:p>
      <w:pPr>
        <w:spacing w:after="0" w:line="76" w:lineRule="exact"/>
        <w:rPr>
          <w:rFonts w:ascii="Arial" w:cs="Arial" w:eastAsia="Arial" w:hAnsi="Arial"/>
          <w:sz w:val="18"/>
          <w:szCs w:val="18"/>
          <w:color w:val="auto"/>
        </w:rPr>
      </w:pPr>
    </w:p>
    <w:p>
      <w:pPr>
        <w:ind w:left="1240" w:right="120" w:hanging="299"/>
        <w:spacing w:after="0" w:line="275"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“churn rate” are to the percentage of the decrease in the same paying client cohort between the beginning and ending of a given period divided by the number of paying clients at the beginning of the same period;</w:t>
      </w:r>
    </w:p>
    <w:p>
      <w:pPr>
        <w:spacing w:after="0" w:line="76" w:lineRule="exact"/>
        <w:rPr>
          <w:rFonts w:ascii="Arial" w:cs="Arial" w:eastAsia="Arial" w:hAnsi="Arial"/>
          <w:sz w:val="18"/>
          <w:szCs w:val="18"/>
          <w:color w:val="auto"/>
        </w:rPr>
      </w:pPr>
    </w:p>
    <w:p>
      <w:pPr>
        <w:ind w:left="1240" w:right="60" w:hanging="299"/>
        <w:spacing w:after="0" w:line="275"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 “we,” “us,” “our company” and “our” are to Futu Holdings Limited, our Cayman Islands holding company and its subsidiaries, its consolidated affiliated entities;</w:t>
      </w:r>
    </w:p>
    <w:p>
      <w:pPr>
        <w:spacing w:after="0" w:line="76" w:lineRule="exact"/>
        <w:rPr>
          <w:rFonts w:ascii="Arial" w:cs="Arial" w:eastAsia="Arial" w:hAnsi="Arial"/>
          <w:sz w:val="18"/>
          <w:szCs w:val="18"/>
          <w:color w:val="auto"/>
        </w:rPr>
      </w:pPr>
    </w:p>
    <w:p>
      <w:pPr>
        <w:ind w:left="1240" w:hanging="299"/>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“HK$” and “Hong Kong dollars” are to the legal currency of Hong Kong;</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“HK SFC” are to the Securities and Futures Commission of Hong Kong;</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“paying clients” are to the number of the clients with assets in their trading accounts on our platform;</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“registered clients” or “clients” are to the number of investors who open one or more trading accounts on our platform;</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or “ordinary shares” refers to our ordinary shares, par value US$0.00001 per share;</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“U.S. dollars,” “$,” and “dollars” are to the legal currency of the United States; and</w:t>
      </w:r>
    </w:p>
    <w:p>
      <w:pPr>
        <w:spacing w:after="0" w:line="128" w:lineRule="exact"/>
        <w:rPr>
          <w:rFonts w:ascii="Arial" w:cs="Arial" w:eastAsia="Arial" w:hAnsi="Arial"/>
          <w:sz w:val="18"/>
          <w:szCs w:val="18"/>
          <w:color w:val="auto"/>
        </w:rPr>
      </w:pPr>
    </w:p>
    <w:p>
      <w:pPr>
        <w:ind w:left="1240" w:hanging="299"/>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“users” are to the number of user accounts registered with our </w:t>
      </w:r>
      <w:r>
        <w:rPr>
          <w:rFonts w:ascii="Arial" w:cs="Arial" w:eastAsia="Arial" w:hAnsi="Arial"/>
          <w:sz w:val="18"/>
          <w:szCs w:val="18"/>
          <w:i w:val="1"/>
          <w:iCs w:val="1"/>
          <w:color w:val="auto"/>
        </w:rPr>
        <w:t>Futu NiuNiu</w:t>
      </w:r>
      <w:r>
        <w:rPr>
          <w:rFonts w:ascii="Arial" w:cs="Arial" w:eastAsia="Arial" w:hAnsi="Arial"/>
          <w:sz w:val="18"/>
          <w:szCs w:val="18"/>
          <w:color w:val="auto"/>
        </w:rPr>
        <w:t xml:space="preserve"> mobile application or websites.</w:t>
      </w:r>
    </w:p>
    <w:p>
      <w:pPr>
        <w:spacing w:after="0" w:line="223" w:lineRule="exact"/>
        <w:rPr>
          <w:sz w:val="20"/>
          <w:szCs w:val="20"/>
          <w:color w:val="auto"/>
        </w:rPr>
      </w:pPr>
    </w:p>
    <w:p>
      <w:pPr>
        <w:ind w:left="420" w:right="160" w:firstLine="424"/>
        <w:spacing w:after="0" w:line="275" w:lineRule="auto"/>
        <w:rPr>
          <w:sz w:val="20"/>
          <w:szCs w:val="20"/>
          <w:color w:val="auto"/>
        </w:rPr>
      </w:pPr>
      <w:r>
        <w:rPr>
          <w:rFonts w:ascii="Arial" w:cs="Arial" w:eastAsia="Arial" w:hAnsi="Arial"/>
          <w:sz w:val="18"/>
          <w:szCs w:val="18"/>
          <w:color w:val="auto"/>
        </w:rPr>
        <w:t>Unless the context indicates otherwise, all share and per share data in this prospectus have given effect to the one to 500 share split effected on September 22, 2016, following which each of our previously issued</w:t>
      </w:r>
    </w:p>
    <w:p>
      <w:pPr>
        <w:spacing w:after="0" w:line="200" w:lineRule="exact"/>
        <w:rPr>
          <w:sz w:val="20"/>
          <w:szCs w:val="20"/>
          <w:color w:val="auto"/>
        </w:rPr>
      </w:pPr>
    </w:p>
    <w:p>
      <w:pPr>
        <w:spacing w:after="0" w:line="40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240" w:top="457"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201930</wp:posOffset>
            </wp:positionV>
            <wp:extent cx="6961505" cy="694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1505" cy="6946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spacing w:after="0" w:line="262" w:lineRule="auto"/>
        <w:rPr>
          <w:sz w:val="20"/>
          <w:szCs w:val="20"/>
          <w:color w:val="auto"/>
        </w:rPr>
      </w:pPr>
      <w:r>
        <w:rPr>
          <w:rFonts w:ascii="Arial" w:cs="Arial" w:eastAsia="Arial" w:hAnsi="Arial"/>
          <w:sz w:val="18"/>
          <w:szCs w:val="18"/>
          <w:color w:val="auto"/>
        </w:rPr>
        <w:t>ordinary shares, Series A preferred shares, Series A-1 preferred shares and Series B preferred shares was subdivided into 500 ordinary shares, Series A preferred shares, Series A-1 preferred shares and Series B preferred shares, respectively. In addition, all information in this prospectus assumes no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80"/>
          </w:cols>
          <w:pgMar w:left="240" w:top="457" w:right="9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50" w:type="dxa"/>
        <w:tblCellMar>
          <w:top w:w="0" w:type="dxa"/>
          <w:left w:w="0" w:type="dxa"/>
          <w:bottom w:w="0" w:type="dxa"/>
          <w:right w:w="0" w:type="dxa"/>
        </w:tblCellMar>
      </w:tblPr>
      <w:tr>
        <w:trPr>
          <w:trHeight w:val="406"/>
        </w:trPr>
        <w:tc>
          <w:tcPr>
            <w:tcW w:w="4000" w:type="dxa"/>
            <w:vAlign w:val="bottom"/>
            <w:tcBorders>
              <w:top w:val="single" w:sz="8" w:color="auto"/>
              <w:left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THE OFFERING</w:t>
            </w:r>
          </w:p>
        </w:tc>
        <w:tc>
          <w:tcPr>
            <w:tcW w:w="3680" w:type="dxa"/>
            <w:vAlign w:val="bottom"/>
            <w:tcBorders>
              <w:top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Offering price</w:t>
            </w: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rPr>
              <w:t>We currently estimate that the initial public offering price will be between US$</w:t>
            </w:r>
          </w:p>
        </w:tc>
        <w:tc>
          <w:tcPr>
            <w:tcW w:w="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29"/>
        </w:trPr>
        <w:tc>
          <w:tcPr>
            <w:tcW w:w="4000" w:type="dxa"/>
            <w:vAlign w:val="bottom"/>
            <w:tcBorders>
              <w:left w:val="single" w:sz="8" w:color="auto"/>
            </w:tcBorders>
          </w:tcPr>
          <w:p>
            <w:pPr>
              <w:spacing w:after="0"/>
              <w:rPr>
                <w:sz w:val="19"/>
                <w:szCs w:val="19"/>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US$</w:t>
            </w:r>
          </w:p>
        </w:tc>
        <w:tc>
          <w:tcPr>
            <w:tcW w:w="1360" w:type="dxa"/>
            <w:vAlign w:val="bottom"/>
          </w:tcPr>
          <w:p>
            <w:pPr>
              <w:ind w:left="440"/>
              <w:spacing w:after="0"/>
              <w:rPr>
                <w:sz w:val="20"/>
                <w:szCs w:val="20"/>
                <w:color w:val="auto"/>
              </w:rPr>
            </w:pPr>
            <w:r>
              <w:rPr>
                <w:rFonts w:ascii="Arial" w:cs="Arial" w:eastAsia="Arial" w:hAnsi="Arial"/>
                <w:sz w:val="18"/>
                <w:szCs w:val="18"/>
                <w:color w:val="auto"/>
              </w:rPr>
              <w:t>per ADS.</w:t>
            </w:r>
          </w:p>
        </w:tc>
        <w:tc>
          <w:tcPr>
            <w:tcW w:w="7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us</w:t>
            </w:r>
          </w:p>
        </w:tc>
        <w:tc>
          <w:tcPr>
            <w:tcW w:w="660" w:type="dxa"/>
            <w:vAlign w:val="bottom"/>
            <w:vMerge w:val="restart"/>
          </w:tcPr>
          <w:p>
            <w:pPr>
              <w:ind w:left="200"/>
              <w:spacing w:after="0"/>
              <w:rPr>
                <w:sz w:val="20"/>
                <w:szCs w:val="20"/>
                <w:color w:val="auto"/>
              </w:rPr>
            </w:pPr>
            <w:r>
              <w:rPr>
                <w:rFonts w:ascii="Arial" w:cs="Arial" w:eastAsia="Arial" w:hAnsi="Arial"/>
                <w:sz w:val="18"/>
                <w:szCs w:val="18"/>
                <w:color w:val="auto"/>
              </w:rPr>
              <w:t>full).</w:t>
            </w:r>
          </w:p>
        </w:tc>
        <w:tc>
          <w:tcPr>
            <w:tcW w:w="1360" w:type="dxa"/>
            <w:vAlign w:val="bottom"/>
          </w:tcPr>
          <w:p>
            <w:pPr>
              <w:ind w:left="120"/>
              <w:spacing w:after="0"/>
              <w:rPr>
                <w:sz w:val="20"/>
                <w:szCs w:val="20"/>
                <w:color w:val="auto"/>
              </w:rPr>
            </w:pPr>
            <w:r>
              <w:rPr>
                <w:rFonts w:ascii="Arial" w:cs="Arial" w:eastAsia="Arial" w:hAnsi="Arial"/>
                <w:sz w:val="18"/>
                <w:szCs w:val="18"/>
                <w:color w:val="auto"/>
              </w:rPr>
              <w:t>ADSs (or</w:t>
            </w:r>
          </w:p>
        </w:tc>
        <w:tc>
          <w:tcPr>
            <w:tcW w:w="49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ADSs if the underwriters exercise their over-allotment option in</w:t>
            </w: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tcBorders>
          </w:tcPr>
          <w:p>
            <w:pPr>
              <w:spacing w:after="0"/>
              <w:rPr>
                <w:sz w:val="18"/>
                <w:szCs w:val="18"/>
                <w:color w:val="auto"/>
              </w:rPr>
            </w:pPr>
          </w:p>
        </w:tc>
        <w:tc>
          <w:tcPr>
            <w:tcW w:w="6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the selling shareholders</w:t>
            </w:r>
          </w:p>
        </w:tc>
        <w:tc>
          <w:tcPr>
            <w:tcW w:w="660" w:type="dxa"/>
            <w:vAlign w:val="bottom"/>
            <w:vMerge w:val="restart"/>
          </w:tcPr>
          <w:p>
            <w:pPr>
              <w:ind w:left="200"/>
              <w:spacing w:after="0"/>
              <w:rPr>
                <w:sz w:val="20"/>
                <w:szCs w:val="20"/>
                <w:color w:val="auto"/>
              </w:rPr>
            </w:pPr>
            <w:r>
              <w:rPr>
                <w:rFonts w:ascii="Arial" w:cs="Arial" w:eastAsia="Arial" w:hAnsi="Arial"/>
                <w:sz w:val="18"/>
                <w:szCs w:val="18"/>
                <w:color w:val="auto"/>
              </w:rPr>
              <w:t>full)]</w:t>
            </w:r>
          </w:p>
        </w:tc>
        <w:tc>
          <w:tcPr>
            <w:tcW w:w="1360" w:type="dxa"/>
            <w:vAlign w:val="bottom"/>
          </w:tcPr>
          <w:p>
            <w:pPr>
              <w:ind w:left="120"/>
              <w:spacing w:after="0"/>
              <w:rPr>
                <w:sz w:val="20"/>
                <w:szCs w:val="20"/>
                <w:color w:val="auto"/>
              </w:rPr>
            </w:pPr>
            <w:r>
              <w:rPr>
                <w:rFonts w:ascii="Arial" w:cs="Arial" w:eastAsia="Arial" w:hAnsi="Arial"/>
                <w:sz w:val="18"/>
                <w:szCs w:val="18"/>
                <w:color w:val="auto"/>
              </w:rPr>
              <w:t>ADSs (or</w:t>
            </w:r>
          </w:p>
        </w:tc>
        <w:tc>
          <w:tcPr>
            <w:tcW w:w="49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ADSs if the underwriters exercise their over-allotment option in</w:t>
            </w: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tcBorders>
          </w:tcPr>
          <w:p>
            <w:pPr>
              <w:spacing w:after="0"/>
              <w:rPr>
                <w:sz w:val="18"/>
                <w:szCs w:val="18"/>
                <w:color w:val="auto"/>
              </w:rPr>
            </w:pPr>
          </w:p>
        </w:tc>
        <w:tc>
          <w:tcPr>
            <w:tcW w:w="6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8"/>
              </w:rPr>
              <w:t>ADSs outstanding immediately after this offering</w:t>
            </w:r>
          </w:p>
        </w:tc>
        <w:tc>
          <w:tcPr>
            <w:tcW w:w="660" w:type="dxa"/>
            <w:vAlign w:val="bottom"/>
            <w:vMerge w:val="restart"/>
          </w:tcPr>
          <w:p>
            <w:pPr>
              <w:ind w:left="200"/>
              <w:spacing w:after="0"/>
              <w:rPr>
                <w:sz w:val="20"/>
                <w:szCs w:val="20"/>
                <w:color w:val="auto"/>
              </w:rPr>
            </w:pPr>
            <w:r>
              <w:rPr>
                <w:rFonts w:ascii="Arial" w:cs="Arial" w:eastAsia="Arial" w:hAnsi="Arial"/>
                <w:sz w:val="18"/>
                <w:szCs w:val="18"/>
                <w:color w:val="auto"/>
              </w:rPr>
              <w:t>full).</w:t>
            </w:r>
          </w:p>
        </w:tc>
        <w:tc>
          <w:tcPr>
            <w:tcW w:w="1360" w:type="dxa"/>
            <w:vAlign w:val="bottom"/>
          </w:tcPr>
          <w:p>
            <w:pPr>
              <w:ind w:left="120"/>
              <w:spacing w:after="0"/>
              <w:rPr>
                <w:sz w:val="20"/>
                <w:szCs w:val="20"/>
                <w:color w:val="auto"/>
              </w:rPr>
            </w:pPr>
            <w:r>
              <w:rPr>
                <w:rFonts w:ascii="Arial" w:cs="Arial" w:eastAsia="Arial" w:hAnsi="Arial"/>
                <w:sz w:val="18"/>
                <w:szCs w:val="18"/>
                <w:color w:val="auto"/>
              </w:rPr>
              <w:t>ADSs (or</w:t>
            </w:r>
          </w:p>
        </w:tc>
        <w:tc>
          <w:tcPr>
            <w:tcW w:w="494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ADSs if the underwriters exercise their over-allotment option in</w:t>
            </w: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tcBorders>
          </w:tcPr>
          <w:p>
            <w:pPr>
              <w:spacing w:after="0"/>
              <w:rPr>
                <w:sz w:val="18"/>
                <w:szCs w:val="18"/>
                <w:color w:val="auto"/>
              </w:rPr>
            </w:pPr>
          </w:p>
        </w:tc>
        <w:tc>
          <w:tcPr>
            <w:tcW w:w="6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4"/>
              </w:rPr>
              <w:t>Ordinary shares outstanding immediately after this</w:t>
            </w:r>
          </w:p>
        </w:tc>
        <w:tc>
          <w:tcPr>
            <w:tcW w:w="660" w:type="dxa"/>
            <w:vAlign w:val="bottom"/>
          </w:tcPr>
          <w:p>
            <w:pPr>
              <w:spacing w:after="0"/>
              <w:rPr>
                <w:sz w:val="24"/>
                <w:szCs w:val="24"/>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ordinary shares (or</w:t>
            </w:r>
          </w:p>
        </w:tc>
        <w:tc>
          <w:tcPr>
            <w:tcW w:w="42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ordinary shares if the underwriters exercise their over-</w:t>
            </w:r>
          </w:p>
        </w:tc>
        <w:tc>
          <w:tcPr>
            <w:tcW w:w="0" w:type="dxa"/>
            <w:vAlign w:val="bottom"/>
          </w:tcPr>
          <w:p>
            <w:pPr>
              <w:spacing w:after="0"/>
              <w:rPr>
                <w:sz w:val="1"/>
                <w:szCs w:val="1"/>
                <w:color w:val="auto"/>
              </w:rPr>
            </w:pPr>
          </w:p>
        </w:tc>
      </w:tr>
      <w:tr>
        <w:trPr>
          <w:trHeight w:val="229"/>
        </w:trPr>
        <w:tc>
          <w:tcPr>
            <w:tcW w:w="400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offering</w:t>
            </w: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w w:val="97"/>
              </w:rPr>
              <w:t>allotment option in full).</w:t>
            </w:r>
          </w:p>
        </w:tc>
        <w:tc>
          <w:tcPr>
            <w:tcW w:w="7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The ADSs</w:t>
            </w: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Each ADS represents</w:t>
            </w: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ordinary shares, par value US$0.00001 per share.</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000" w:type="dxa"/>
            <w:vAlign w:val="bottom"/>
            <w:tcBorders>
              <w:left w:val="single" w:sz="8" w:color="auto"/>
            </w:tcBorders>
          </w:tcPr>
          <w:p>
            <w:pPr>
              <w:spacing w:after="0"/>
              <w:rPr>
                <w:sz w:val="24"/>
                <w:szCs w:val="24"/>
                <w:color w:val="auto"/>
              </w:rPr>
            </w:pPr>
          </w:p>
        </w:tc>
        <w:tc>
          <w:tcPr>
            <w:tcW w:w="696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8"/>
              </w:rPr>
              <w:t>The depositary will hold ordinary shares underlying your ADSs. You will have rights as</w:t>
            </w: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tcBorders>
          </w:tcPr>
          <w:p>
            <w:pPr>
              <w:spacing w:after="0"/>
              <w:rPr>
                <w:sz w:val="18"/>
                <w:szCs w:val="18"/>
                <w:color w:val="auto"/>
              </w:rPr>
            </w:pP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w w:val="89"/>
              </w:rPr>
              <w:t>provided in the deposit agreement among us, the depositary and holders and beneficial</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Borders>
              <w:left w:val="single" w:sz="8" w:color="auto"/>
            </w:tcBorders>
          </w:tcPr>
          <w:p>
            <w:pPr>
              <w:spacing w:after="0"/>
              <w:rPr>
                <w:sz w:val="19"/>
                <w:szCs w:val="19"/>
                <w:color w:val="auto"/>
              </w:rPr>
            </w:pPr>
          </w:p>
        </w:tc>
        <w:tc>
          <w:tcPr>
            <w:tcW w:w="2740" w:type="dxa"/>
            <w:vAlign w:val="bottom"/>
            <w:gridSpan w:val="3"/>
          </w:tcPr>
          <w:p>
            <w:pPr>
              <w:ind w:left="200"/>
              <w:spacing w:after="0"/>
              <w:rPr>
                <w:sz w:val="20"/>
                <w:szCs w:val="20"/>
                <w:color w:val="auto"/>
              </w:rPr>
            </w:pPr>
            <w:r>
              <w:rPr>
                <w:rFonts w:ascii="Arial" w:cs="Arial" w:eastAsia="Arial" w:hAnsi="Arial"/>
                <w:sz w:val="18"/>
                <w:szCs w:val="18"/>
                <w:color w:val="auto"/>
                <w:w w:val="92"/>
              </w:rPr>
              <w:t>owners of ADSs from time to time.</w:t>
            </w:r>
          </w:p>
        </w:tc>
        <w:tc>
          <w:tcPr>
            <w:tcW w:w="36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4000" w:type="dxa"/>
            <w:vAlign w:val="bottom"/>
            <w:tcBorders>
              <w:left w:val="single" w:sz="8" w:color="auto"/>
            </w:tcBorders>
          </w:tcPr>
          <w:p>
            <w:pPr>
              <w:spacing w:after="0"/>
              <w:rPr>
                <w:sz w:val="24"/>
                <w:szCs w:val="24"/>
                <w:color w:val="auto"/>
              </w:rPr>
            </w:pP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w w:val="92"/>
              </w:rPr>
              <w:t>We do not expect to pay dividends in the foreseeable future. If, however, we declare</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3"/>
              </w:rPr>
              <w:t>dividends on our ordinary shares, the depositary will pay you the cash dividends and other</w:t>
            </w: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tcBorders>
          </w:tcPr>
          <w:p>
            <w:pPr>
              <w:spacing w:after="0"/>
              <w:rPr>
                <w:sz w:val="18"/>
                <w:szCs w:val="18"/>
                <w:color w:val="auto"/>
              </w:rPr>
            </w:pP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w w:val="89"/>
              </w:rPr>
              <w:t>distributions it receives on our ordinary shares after deducting its fees and expenses in</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Borders>
              <w:left w:val="single" w:sz="8" w:color="auto"/>
            </w:tcBorders>
          </w:tcPr>
          <w:p>
            <w:pPr>
              <w:spacing w:after="0"/>
              <w:rPr>
                <w:sz w:val="19"/>
                <w:szCs w:val="19"/>
                <w:color w:val="auto"/>
              </w:rPr>
            </w:pP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rPr>
              <w:t>accordance with the terms set forth in the deposit agreement.</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4000" w:type="dxa"/>
            <w:vAlign w:val="bottom"/>
            <w:tcBorders>
              <w:left w:val="single" w:sz="8" w:color="auto"/>
            </w:tcBorders>
          </w:tcPr>
          <w:p>
            <w:pPr>
              <w:spacing w:after="0"/>
              <w:rPr>
                <w:sz w:val="24"/>
                <w:szCs w:val="24"/>
                <w:color w:val="auto"/>
              </w:rPr>
            </w:pP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w w:val="94"/>
              </w:rPr>
              <w:t>You may turn in your ADSs to the depositary in exchange for ordinary shares. The</w:t>
            </w: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tcBorders>
              <w:left w:val="single" w:sz="8" w:color="auto"/>
            </w:tcBorders>
          </w:tcPr>
          <w:p>
            <w:pPr>
              <w:spacing w:after="0"/>
              <w:rPr>
                <w:sz w:val="19"/>
                <w:szCs w:val="19"/>
                <w:color w:val="auto"/>
              </w:rPr>
            </w:pP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rPr>
              <w:t>depositary will charge you fees for any exchange.</w:t>
            </w: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4000" w:type="dxa"/>
            <w:vAlign w:val="bottom"/>
            <w:tcBorders>
              <w:left w:val="single" w:sz="8" w:color="auto"/>
            </w:tcBorders>
          </w:tcPr>
          <w:p>
            <w:pPr>
              <w:spacing w:after="0"/>
              <w:rPr>
                <w:sz w:val="24"/>
                <w:szCs w:val="24"/>
                <w:color w:val="auto"/>
              </w:rPr>
            </w:pPr>
          </w:p>
        </w:tc>
        <w:tc>
          <w:tcPr>
            <w:tcW w:w="696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2"/>
              </w:rPr>
              <w:t>We may amend or terminate the deposit agreement without your consent. If you continue to</w:t>
            </w: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4"/>
              </w:rPr>
              <w:t>hold your ADSs after an amendment to the deposit agreement, you agree to be bound by</w:t>
            </w:r>
          </w:p>
        </w:tc>
        <w:tc>
          <w:tcPr>
            <w:tcW w:w="0" w:type="dxa"/>
            <w:vAlign w:val="bottom"/>
          </w:tcPr>
          <w:p>
            <w:pPr>
              <w:spacing w:after="0"/>
              <w:rPr>
                <w:sz w:val="1"/>
                <w:szCs w:val="1"/>
                <w:color w:val="auto"/>
              </w:rPr>
            </w:pPr>
          </w:p>
        </w:tc>
      </w:tr>
      <w:tr>
        <w:trPr>
          <w:trHeight w:val="229"/>
        </w:trPr>
        <w:tc>
          <w:tcPr>
            <w:tcW w:w="4000" w:type="dxa"/>
            <w:vAlign w:val="bottom"/>
            <w:tcBorders>
              <w:left w:val="single" w:sz="8" w:color="auto"/>
            </w:tcBorders>
          </w:tcPr>
          <w:p>
            <w:pPr>
              <w:spacing w:after="0"/>
              <w:rPr>
                <w:sz w:val="19"/>
                <w:szCs w:val="19"/>
                <w:color w:val="auto"/>
              </w:rPr>
            </w:pPr>
          </w:p>
        </w:tc>
        <w:tc>
          <w:tcPr>
            <w:tcW w:w="2740" w:type="dxa"/>
            <w:vAlign w:val="bottom"/>
            <w:gridSpan w:val="3"/>
          </w:tcPr>
          <w:p>
            <w:pPr>
              <w:ind w:left="200"/>
              <w:spacing w:after="0"/>
              <w:rPr>
                <w:sz w:val="20"/>
                <w:szCs w:val="20"/>
                <w:color w:val="auto"/>
              </w:rPr>
            </w:pPr>
            <w:r>
              <w:rPr>
                <w:rFonts w:ascii="Arial" w:cs="Arial" w:eastAsia="Arial" w:hAnsi="Arial"/>
                <w:sz w:val="18"/>
                <w:szCs w:val="18"/>
                <w:color w:val="auto"/>
                <w:w w:val="87"/>
              </w:rPr>
              <w:t>the deposit agreement as amended.</w:t>
            </w:r>
          </w:p>
        </w:tc>
        <w:tc>
          <w:tcPr>
            <w:tcW w:w="36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4000" w:type="dxa"/>
            <w:vAlign w:val="bottom"/>
            <w:tcBorders>
              <w:left w:val="single" w:sz="8" w:color="auto"/>
            </w:tcBorders>
          </w:tcPr>
          <w:p>
            <w:pPr>
              <w:spacing w:after="0"/>
              <w:rPr>
                <w:sz w:val="24"/>
                <w:szCs w:val="24"/>
                <w:color w:val="auto"/>
              </w:rPr>
            </w:pPr>
          </w:p>
        </w:tc>
        <w:tc>
          <w:tcPr>
            <w:tcW w:w="696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4"/>
              </w:rPr>
              <w:t>To better understand the terms of the ADSs, you should carefully read the “Description of</w:t>
            </w: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3"/>
              </w:rPr>
              <w:t>American Depositary Shares” section of this prospectus. You should also read the deposit</w:t>
            </w: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tcBorders>
          </w:tcPr>
          <w:p>
            <w:pPr>
              <w:spacing w:after="0"/>
              <w:rPr>
                <w:sz w:val="18"/>
                <w:szCs w:val="18"/>
                <w:color w:val="auto"/>
              </w:rPr>
            </w:pP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w w:val="92"/>
              </w:rPr>
              <w:t>agreement, which is filed as an exhibit to the registration statement that includes this</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Borders>
              <w:left w:val="single" w:sz="8" w:color="auto"/>
            </w:tcBorders>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prospectus.</w:t>
            </w:r>
          </w:p>
        </w:tc>
        <w:tc>
          <w:tcPr>
            <w:tcW w:w="7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4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Over-allotment option</w:t>
            </w:r>
          </w:p>
        </w:tc>
        <w:tc>
          <w:tcPr>
            <w:tcW w:w="696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4"/>
              </w:rPr>
              <w:t>We [and the selling shareholders] have granted to the underwriters an option, exercisable</w:t>
            </w:r>
          </w:p>
        </w:tc>
        <w:tc>
          <w:tcPr>
            <w:tcW w:w="0" w:type="dxa"/>
            <w:vAlign w:val="bottom"/>
          </w:tcPr>
          <w:p>
            <w:pPr>
              <w:spacing w:after="0"/>
              <w:rPr>
                <w:sz w:val="1"/>
                <w:szCs w:val="1"/>
                <w:color w:val="auto"/>
              </w:rPr>
            </w:pPr>
          </w:p>
        </w:tc>
      </w:tr>
      <w:tr>
        <w:trPr>
          <w:trHeight w:val="215"/>
        </w:trPr>
        <w:tc>
          <w:tcPr>
            <w:tcW w:w="4000" w:type="dxa"/>
            <w:vAlign w:val="bottom"/>
            <w:tcBorders>
              <w:left w:val="single" w:sz="8" w:color="auto"/>
            </w:tcBorders>
          </w:tcPr>
          <w:p>
            <w:pPr>
              <w:spacing w:after="0"/>
              <w:rPr>
                <w:sz w:val="18"/>
                <w:szCs w:val="18"/>
                <w:color w:val="auto"/>
              </w:rPr>
            </w:pP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w w:val="95"/>
              </w:rPr>
              <w:t>within 30 days from the date of this prospectus, to purchase up to an aggregate of</w:t>
            </w: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Borders>
              <w:left w:val="single" w:sz="8" w:color="auto"/>
            </w:tcBorders>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additional ADSs.</w:t>
            </w:r>
          </w:p>
        </w:tc>
        <w:tc>
          <w:tcPr>
            <w:tcW w:w="7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1"/>
        </w:trPr>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ind w:left="760"/>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7"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201930</wp:posOffset>
            </wp:positionV>
            <wp:extent cx="6961505" cy="4463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1505" cy="44634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Use of proceeds</w:t>
            </w:r>
          </w:p>
        </w:tc>
        <w:tc>
          <w:tcPr>
            <w:tcW w:w="6000" w:type="dxa"/>
            <w:vAlign w:val="bottom"/>
            <w:gridSpan w:val="4"/>
          </w:tcPr>
          <w:p>
            <w:pPr>
              <w:ind w:left="1140"/>
              <w:spacing w:after="0"/>
              <w:rPr>
                <w:sz w:val="20"/>
                <w:szCs w:val="20"/>
                <w:color w:val="auto"/>
              </w:rPr>
            </w:pPr>
            <w:r>
              <w:rPr>
                <w:rFonts w:ascii="Arial" w:cs="Arial" w:eastAsia="Arial" w:hAnsi="Arial"/>
                <w:sz w:val="18"/>
                <w:szCs w:val="18"/>
                <w:color w:val="auto"/>
                <w:w w:val="91"/>
              </w:rPr>
              <w:t>We expect that we will receive net proceeds of approximately US$</w:t>
            </w:r>
          </w:p>
        </w:tc>
        <w:tc>
          <w:tcPr>
            <w:tcW w:w="1680" w:type="dxa"/>
            <w:vAlign w:val="bottom"/>
          </w:tcPr>
          <w:p>
            <w:pPr>
              <w:jc w:val="center"/>
              <w:ind w:left="11"/>
              <w:spacing w:after="0"/>
              <w:rPr>
                <w:sz w:val="20"/>
                <w:szCs w:val="20"/>
                <w:color w:val="auto"/>
              </w:rPr>
            </w:pPr>
            <w:r>
              <w:rPr>
                <w:rFonts w:ascii="Arial" w:cs="Arial" w:eastAsia="Arial" w:hAnsi="Arial"/>
                <w:sz w:val="18"/>
                <w:szCs w:val="18"/>
                <w:color w:val="auto"/>
                <w:w w:val="98"/>
              </w:rPr>
              <w:t>million (or,</w:t>
            </w:r>
          </w:p>
        </w:tc>
      </w:tr>
      <w:tr>
        <w:trPr>
          <w:trHeight w:val="215"/>
        </w:trPr>
        <w:tc>
          <w:tcPr>
            <w:tcW w:w="2880" w:type="dxa"/>
            <w:vAlign w:val="bottom"/>
          </w:tcPr>
          <w:p>
            <w:pPr>
              <w:spacing w:after="0"/>
              <w:rPr>
                <w:sz w:val="18"/>
                <w:szCs w:val="18"/>
                <w:color w:val="auto"/>
              </w:rPr>
            </w:pPr>
          </w:p>
        </w:tc>
        <w:tc>
          <w:tcPr>
            <w:tcW w:w="1740" w:type="dxa"/>
            <w:vAlign w:val="bottom"/>
          </w:tcPr>
          <w:p>
            <w:pPr>
              <w:ind w:left="1140"/>
              <w:spacing w:after="0"/>
              <w:rPr>
                <w:sz w:val="20"/>
                <w:szCs w:val="20"/>
                <w:color w:val="auto"/>
              </w:rPr>
            </w:pPr>
            <w:r>
              <w:rPr>
                <w:rFonts w:ascii="Arial" w:cs="Arial" w:eastAsia="Arial" w:hAnsi="Arial"/>
                <w:sz w:val="18"/>
                <w:szCs w:val="18"/>
                <w:color w:val="auto"/>
              </w:rPr>
              <w:t>US$</w:t>
            </w:r>
          </w:p>
        </w:tc>
        <w:tc>
          <w:tcPr>
            <w:tcW w:w="5940" w:type="dxa"/>
            <w:vAlign w:val="bottom"/>
            <w:gridSpan w:val="4"/>
          </w:tcPr>
          <w:p>
            <w:pPr>
              <w:ind w:left="300"/>
              <w:spacing w:after="0"/>
              <w:rPr>
                <w:sz w:val="20"/>
                <w:szCs w:val="20"/>
                <w:color w:val="auto"/>
              </w:rPr>
            </w:pPr>
            <w:r>
              <w:rPr>
                <w:rFonts w:ascii="Arial" w:cs="Arial" w:eastAsia="Arial" w:hAnsi="Arial"/>
                <w:sz w:val="18"/>
                <w:szCs w:val="18"/>
                <w:color w:val="auto"/>
                <w:w w:val="97"/>
              </w:rPr>
              <w:t>million if the underwriters exercise their over-allotment option in full) from</w:t>
            </w:r>
          </w:p>
        </w:tc>
      </w:tr>
      <w:tr>
        <w:trPr>
          <w:trHeight w:val="215"/>
        </w:trPr>
        <w:tc>
          <w:tcPr>
            <w:tcW w:w="2880" w:type="dxa"/>
            <w:vAlign w:val="bottom"/>
          </w:tcPr>
          <w:p>
            <w:pPr>
              <w:spacing w:after="0"/>
              <w:rPr>
                <w:sz w:val="18"/>
                <w:szCs w:val="18"/>
                <w:color w:val="auto"/>
              </w:rPr>
            </w:pPr>
          </w:p>
        </w:tc>
        <w:tc>
          <w:tcPr>
            <w:tcW w:w="6000" w:type="dxa"/>
            <w:vAlign w:val="bottom"/>
            <w:gridSpan w:val="4"/>
          </w:tcPr>
          <w:p>
            <w:pPr>
              <w:ind w:left="1140"/>
              <w:spacing w:after="0"/>
              <w:rPr>
                <w:sz w:val="20"/>
                <w:szCs w:val="20"/>
                <w:color w:val="auto"/>
              </w:rPr>
            </w:pPr>
            <w:r>
              <w:rPr>
                <w:rFonts w:ascii="Arial" w:cs="Arial" w:eastAsia="Arial" w:hAnsi="Arial"/>
                <w:sz w:val="18"/>
                <w:szCs w:val="18"/>
                <w:color w:val="auto"/>
              </w:rPr>
              <w:t>this offering, assuming an initial public offering price of US$</w:t>
            </w:r>
          </w:p>
        </w:tc>
        <w:tc>
          <w:tcPr>
            <w:tcW w:w="1680" w:type="dxa"/>
            <w:vAlign w:val="bottom"/>
          </w:tcPr>
          <w:p>
            <w:pPr>
              <w:jc w:val="center"/>
              <w:ind w:left="11"/>
              <w:spacing w:after="0"/>
              <w:rPr>
                <w:sz w:val="20"/>
                <w:szCs w:val="20"/>
                <w:color w:val="auto"/>
              </w:rPr>
            </w:pPr>
            <w:r>
              <w:rPr>
                <w:rFonts w:ascii="Arial" w:cs="Arial" w:eastAsia="Arial" w:hAnsi="Arial"/>
                <w:sz w:val="18"/>
                <w:szCs w:val="18"/>
                <w:color w:val="auto"/>
                <w:w w:val="91"/>
              </w:rPr>
              <w:t>per ADS, which is the</w:t>
            </w:r>
          </w:p>
        </w:tc>
      </w:tr>
      <w:tr>
        <w:trPr>
          <w:trHeight w:val="215"/>
        </w:trPr>
        <w:tc>
          <w:tcPr>
            <w:tcW w:w="2880" w:type="dxa"/>
            <w:vAlign w:val="bottom"/>
          </w:tcPr>
          <w:p>
            <w:pPr>
              <w:spacing w:after="0"/>
              <w:rPr>
                <w:sz w:val="18"/>
                <w:szCs w:val="18"/>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rPr>
              <w:t>midpoint of the estimated range of the initial public offering price, after deducting</w:t>
            </w:r>
          </w:p>
        </w:tc>
      </w:tr>
      <w:tr>
        <w:trPr>
          <w:trHeight w:val="229"/>
        </w:trPr>
        <w:tc>
          <w:tcPr>
            <w:tcW w:w="2880" w:type="dxa"/>
            <w:vAlign w:val="bottom"/>
          </w:tcPr>
          <w:p>
            <w:pPr>
              <w:spacing w:after="0"/>
              <w:rPr>
                <w:sz w:val="19"/>
                <w:szCs w:val="19"/>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1"/>
              </w:rPr>
              <w:t>underwriting discounts and commissions and estimated offering expenses payable by us.</w:t>
            </w:r>
          </w:p>
        </w:tc>
      </w:tr>
      <w:tr>
        <w:trPr>
          <w:trHeight w:val="442"/>
        </w:trPr>
        <w:tc>
          <w:tcPr>
            <w:tcW w:w="2880" w:type="dxa"/>
            <w:vAlign w:val="bottom"/>
          </w:tcPr>
          <w:p>
            <w:pPr>
              <w:spacing w:after="0"/>
              <w:rPr>
                <w:sz w:val="24"/>
                <w:szCs w:val="24"/>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7"/>
              </w:rPr>
              <w:t>We intend to use the net proceeds from this offering for general corporate purposes,</w:t>
            </w:r>
          </w:p>
        </w:tc>
      </w:tr>
      <w:tr>
        <w:trPr>
          <w:trHeight w:val="215"/>
        </w:trPr>
        <w:tc>
          <w:tcPr>
            <w:tcW w:w="2880" w:type="dxa"/>
            <w:vAlign w:val="bottom"/>
          </w:tcPr>
          <w:p>
            <w:pPr>
              <w:spacing w:after="0"/>
              <w:rPr>
                <w:sz w:val="18"/>
                <w:szCs w:val="18"/>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0"/>
              </w:rPr>
              <w:t>including research and development and working capital needs. See “Use of Proceeds” for</w:t>
            </w:r>
          </w:p>
        </w:tc>
      </w:tr>
      <w:tr>
        <w:trPr>
          <w:trHeight w:val="229"/>
        </w:trPr>
        <w:tc>
          <w:tcPr>
            <w:tcW w:w="2880" w:type="dxa"/>
            <w:vAlign w:val="bottom"/>
          </w:tcPr>
          <w:p>
            <w:pPr>
              <w:spacing w:after="0"/>
              <w:rPr>
                <w:sz w:val="19"/>
                <w:szCs w:val="19"/>
                <w:color w:val="auto"/>
              </w:rPr>
            </w:pPr>
          </w:p>
        </w:tc>
        <w:tc>
          <w:tcPr>
            <w:tcW w:w="4280" w:type="dxa"/>
            <w:vAlign w:val="bottom"/>
            <w:gridSpan w:val="2"/>
          </w:tcPr>
          <w:p>
            <w:pPr>
              <w:ind w:left="1140"/>
              <w:spacing w:after="0"/>
              <w:rPr>
                <w:sz w:val="20"/>
                <w:szCs w:val="20"/>
                <w:color w:val="auto"/>
              </w:rPr>
            </w:pPr>
            <w:r>
              <w:rPr>
                <w:rFonts w:ascii="Arial" w:cs="Arial" w:eastAsia="Arial" w:hAnsi="Arial"/>
                <w:sz w:val="18"/>
                <w:szCs w:val="18"/>
                <w:color w:val="auto"/>
              </w:rPr>
              <w:t>more information.</w:t>
            </w: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2"/>
        </w:trPr>
        <w:tc>
          <w:tcPr>
            <w:tcW w:w="2880" w:type="dxa"/>
            <w:vAlign w:val="bottom"/>
          </w:tcPr>
          <w:p>
            <w:pPr>
              <w:spacing w:after="0"/>
              <w:rPr>
                <w:sz w:val="20"/>
                <w:szCs w:val="20"/>
                <w:color w:val="auto"/>
              </w:rPr>
            </w:pPr>
            <w:r>
              <w:rPr>
                <w:rFonts w:ascii="Arial" w:cs="Arial" w:eastAsia="Arial" w:hAnsi="Arial"/>
                <w:sz w:val="18"/>
                <w:szCs w:val="18"/>
                <w:color w:val="auto"/>
              </w:rPr>
              <w:t>Lock-up</w:t>
            </w: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1"/>
              </w:rPr>
              <w:t>[We, our directors, executive officers, our existing shareholders and certain holders of our</w:t>
            </w:r>
          </w:p>
        </w:tc>
      </w:tr>
      <w:tr>
        <w:trPr>
          <w:trHeight w:val="215"/>
        </w:trPr>
        <w:tc>
          <w:tcPr>
            <w:tcW w:w="2880" w:type="dxa"/>
            <w:vAlign w:val="bottom"/>
          </w:tcPr>
          <w:p>
            <w:pPr>
              <w:spacing w:after="0"/>
              <w:rPr>
                <w:sz w:val="18"/>
                <w:szCs w:val="18"/>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2"/>
              </w:rPr>
              <w:t>share-based awards] have agreed with the underwriters not to sell, transfer or dispose of</w:t>
            </w:r>
          </w:p>
        </w:tc>
      </w:tr>
      <w:tr>
        <w:trPr>
          <w:trHeight w:val="215"/>
        </w:trPr>
        <w:tc>
          <w:tcPr>
            <w:tcW w:w="2880" w:type="dxa"/>
            <w:vAlign w:val="bottom"/>
          </w:tcPr>
          <w:p>
            <w:pPr>
              <w:spacing w:after="0"/>
              <w:rPr>
                <w:sz w:val="18"/>
                <w:szCs w:val="18"/>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3"/>
              </w:rPr>
              <w:t>any ADSs, ordinary shares or similar securities for a period of 180 days after the date of</w:t>
            </w:r>
          </w:p>
        </w:tc>
      </w:tr>
      <w:tr>
        <w:trPr>
          <w:trHeight w:val="229"/>
        </w:trPr>
        <w:tc>
          <w:tcPr>
            <w:tcW w:w="2880" w:type="dxa"/>
            <w:vAlign w:val="bottom"/>
          </w:tcPr>
          <w:p>
            <w:pPr>
              <w:spacing w:after="0"/>
              <w:rPr>
                <w:sz w:val="19"/>
                <w:szCs w:val="19"/>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rPr>
              <w:t>this prospectus. See “Shares Eligible for Future Sales” and “Underwriting.”</w:t>
            </w:r>
          </w:p>
        </w:tc>
      </w:tr>
      <w:tr>
        <w:trPr>
          <w:trHeight w:val="442"/>
        </w:trPr>
        <w:tc>
          <w:tcPr>
            <w:tcW w:w="2880" w:type="dxa"/>
            <w:vAlign w:val="bottom"/>
          </w:tcPr>
          <w:p>
            <w:pPr>
              <w:spacing w:after="0"/>
              <w:rPr>
                <w:sz w:val="20"/>
                <w:szCs w:val="20"/>
                <w:color w:val="auto"/>
              </w:rPr>
            </w:pPr>
            <w:r>
              <w:rPr>
                <w:rFonts w:ascii="Arial" w:cs="Arial" w:eastAsia="Arial" w:hAnsi="Arial"/>
                <w:sz w:val="18"/>
                <w:szCs w:val="18"/>
                <w:color w:val="auto"/>
              </w:rPr>
              <w:t>[Directed ADS Program</w:t>
            </w:r>
          </w:p>
        </w:tc>
        <w:tc>
          <w:tcPr>
            <w:tcW w:w="5140" w:type="dxa"/>
            <w:vAlign w:val="bottom"/>
            <w:gridSpan w:val="3"/>
          </w:tcPr>
          <w:p>
            <w:pPr>
              <w:ind w:left="1140"/>
              <w:spacing w:after="0"/>
              <w:rPr>
                <w:sz w:val="20"/>
                <w:szCs w:val="20"/>
                <w:color w:val="auto"/>
              </w:rPr>
            </w:pPr>
            <w:r>
              <w:rPr>
                <w:rFonts w:ascii="Arial" w:cs="Arial" w:eastAsia="Arial" w:hAnsi="Arial"/>
                <w:sz w:val="18"/>
                <w:szCs w:val="18"/>
                <w:color w:val="auto"/>
                <w:w w:val="95"/>
              </w:rPr>
              <w:t>At our request, the underwriters have reserved up to</w:t>
            </w: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w w:val="97"/>
              </w:rPr>
              <w:t>% of the ADSs being offered</w:t>
            </w:r>
          </w:p>
        </w:tc>
      </w:tr>
      <w:tr>
        <w:trPr>
          <w:trHeight w:val="215"/>
        </w:trPr>
        <w:tc>
          <w:tcPr>
            <w:tcW w:w="2880" w:type="dxa"/>
            <w:vAlign w:val="bottom"/>
          </w:tcPr>
          <w:p>
            <w:pPr>
              <w:spacing w:after="0"/>
              <w:rPr>
                <w:sz w:val="18"/>
                <w:szCs w:val="18"/>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0"/>
              </w:rPr>
              <w:t>by this prospectus (assuming exercise in full by the underwriters of their option to purchase</w:t>
            </w:r>
          </w:p>
        </w:tc>
      </w:tr>
      <w:tr>
        <w:trPr>
          <w:trHeight w:val="215"/>
        </w:trPr>
        <w:tc>
          <w:tcPr>
            <w:tcW w:w="2880" w:type="dxa"/>
            <w:vAlign w:val="bottom"/>
          </w:tcPr>
          <w:p>
            <w:pPr>
              <w:spacing w:after="0"/>
              <w:rPr>
                <w:sz w:val="18"/>
                <w:szCs w:val="18"/>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8"/>
              </w:rPr>
              <w:t>additional ADSs) for sale at the initial public offering price to certain of our directors,</w:t>
            </w:r>
          </w:p>
        </w:tc>
      </w:tr>
      <w:tr>
        <w:trPr>
          <w:trHeight w:val="229"/>
        </w:trPr>
        <w:tc>
          <w:tcPr>
            <w:tcW w:w="2880" w:type="dxa"/>
            <w:vAlign w:val="bottom"/>
          </w:tcPr>
          <w:p>
            <w:pPr>
              <w:spacing w:after="0"/>
              <w:rPr>
                <w:sz w:val="19"/>
                <w:szCs w:val="19"/>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9"/>
              </w:rPr>
              <w:t>executive officers, employees, business associates and members of their families.]</w:t>
            </w:r>
          </w:p>
        </w:tc>
      </w:tr>
      <w:tr>
        <w:trPr>
          <w:trHeight w:val="442"/>
        </w:trPr>
        <w:tc>
          <w:tcPr>
            <w:tcW w:w="2880" w:type="dxa"/>
            <w:vAlign w:val="bottom"/>
          </w:tcPr>
          <w:p>
            <w:pPr>
              <w:spacing w:after="0"/>
              <w:rPr>
                <w:sz w:val="20"/>
                <w:szCs w:val="20"/>
                <w:color w:val="auto"/>
              </w:rPr>
            </w:pPr>
            <w:r>
              <w:rPr>
                <w:rFonts w:ascii="Arial" w:cs="Arial" w:eastAsia="Arial" w:hAnsi="Arial"/>
                <w:sz w:val="18"/>
                <w:szCs w:val="18"/>
                <w:color w:val="auto"/>
              </w:rPr>
              <w:t>Listing</w:t>
            </w: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0"/>
              </w:rPr>
              <w:t>We intend to apply to have the ADSs listed on the Nasdaq Global Market under the symbol</w:t>
            </w:r>
          </w:p>
        </w:tc>
      </w:tr>
      <w:tr>
        <w:trPr>
          <w:trHeight w:val="215"/>
        </w:trPr>
        <w:tc>
          <w:tcPr>
            <w:tcW w:w="2880" w:type="dxa"/>
            <w:vAlign w:val="bottom"/>
          </w:tcPr>
          <w:p>
            <w:pPr>
              <w:spacing w:after="0"/>
              <w:rPr>
                <w:sz w:val="18"/>
                <w:szCs w:val="18"/>
                <w:color w:val="auto"/>
              </w:rPr>
            </w:pP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4"/>
              </w:rPr>
              <w:t>“FHL.” Our ADSs and ordinary shares will not be listed on any other stock exchange or</w:t>
            </w:r>
          </w:p>
        </w:tc>
      </w:tr>
      <w:tr>
        <w:trPr>
          <w:trHeight w:val="229"/>
        </w:trPr>
        <w:tc>
          <w:tcPr>
            <w:tcW w:w="2880" w:type="dxa"/>
            <w:vAlign w:val="bottom"/>
          </w:tcPr>
          <w:p>
            <w:pPr>
              <w:spacing w:after="0"/>
              <w:rPr>
                <w:sz w:val="19"/>
                <w:szCs w:val="19"/>
                <w:color w:val="auto"/>
              </w:rPr>
            </w:pPr>
          </w:p>
        </w:tc>
        <w:tc>
          <w:tcPr>
            <w:tcW w:w="4280" w:type="dxa"/>
            <w:vAlign w:val="bottom"/>
            <w:gridSpan w:val="2"/>
          </w:tcPr>
          <w:p>
            <w:pPr>
              <w:ind w:left="1140"/>
              <w:spacing w:after="0"/>
              <w:rPr>
                <w:sz w:val="20"/>
                <w:szCs w:val="20"/>
                <w:color w:val="auto"/>
              </w:rPr>
            </w:pPr>
            <w:r>
              <w:rPr>
                <w:rFonts w:ascii="Arial" w:cs="Arial" w:eastAsia="Arial" w:hAnsi="Arial"/>
                <w:sz w:val="18"/>
                <w:szCs w:val="18"/>
                <w:color w:val="auto"/>
                <w:w w:val="90"/>
              </w:rPr>
              <w:t>traded on any automated quotation system.</w:t>
            </w: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2"/>
        </w:trPr>
        <w:tc>
          <w:tcPr>
            <w:tcW w:w="2880" w:type="dxa"/>
            <w:vAlign w:val="bottom"/>
          </w:tcPr>
          <w:p>
            <w:pPr>
              <w:spacing w:after="0"/>
              <w:rPr>
                <w:sz w:val="20"/>
                <w:szCs w:val="20"/>
                <w:color w:val="auto"/>
              </w:rPr>
            </w:pPr>
            <w:r>
              <w:rPr>
                <w:rFonts w:ascii="Arial" w:cs="Arial" w:eastAsia="Arial" w:hAnsi="Arial"/>
                <w:sz w:val="18"/>
                <w:szCs w:val="18"/>
                <w:color w:val="auto"/>
              </w:rPr>
              <w:t>Payment and settlement</w:t>
            </w:r>
          </w:p>
        </w:tc>
        <w:tc>
          <w:tcPr>
            <w:tcW w:w="7680" w:type="dxa"/>
            <w:vAlign w:val="bottom"/>
            <w:gridSpan w:val="5"/>
          </w:tcPr>
          <w:p>
            <w:pPr>
              <w:ind w:left="1140"/>
              <w:spacing w:after="0"/>
              <w:rPr>
                <w:sz w:val="20"/>
                <w:szCs w:val="20"/>
                <w:color w:val="auto"/>
              </w:rPr>
            </w:pPr>
            <w:r>
              <w:rPr>
                <w:rFonts w:ascii="Arial" w:cs="Arial" w:eastAsia="Arial" w:hAnsi="Arial"/>
                <w:sz w:val="18"/>
                <w:szCs w:val="18"/>
                <w:color w:val="auto"/>
                <w:w w:val="90"/>
              </w:rPr>
              <w:t>The underwriters expect to deliver the ADSs against payment therefor through the facilities</w:t>
            </w:r>
          </w:p>
        </w:tc>
      </w:tr>
      <w:tr>
        <w:trPr>
          <w:trHeight w:val="229"/>
        </w:trPr>
        <w:tc>
          <w:tcPr>
            <w:tcW w:w="2880" w:type="dxa"/>
            <w:vAlign w:val="bottom"/>
          </w:tcPr>
          <w:p>
            <w:pPr>
              <w:spacing w:after="0"/>
              <w:rPr>
                <w:sz w:val="19"/>
                <w:szCs w:val="19"/>
                <w:color w:val="auto"/>
              </w:rPr>
            </w:pPr>
          </w:p>
        </w:tc>
        <w:tc>
          <w:tcPr>
            <w:tcW w:w="4280" w:type="dxa"/>
            <w:vAlign w:val="bottom"/>
            <w:gridSpan w:val="2"/>
          </w:tcPr>
          <w:p>
            <w:pPr>
              <w:ind w:left="1140"/>
              <w:spacing w:after="0"/>
              <w:rPr>
                <w:sz w:val="20"/>
                <w:szCs w:val="20"/>
                <w:color w:val="auto"/>
              </w:rPr>
            </w:pPr>
            <w:r>
              <w:rPr>
                <w:rFonts w:ascii="Arial" w:cs="Arial" w:eastAsia="Arial" w:hAnsi="Arial"/>
                <w:sz w:val="18"/>
                <w:szCs w:val="18"/>
                <w:color w:val="auto"/>
              </w:rPr>
              <w:t>of the Depository Trust Company on</w:t>
            </w:r>
          </w:p>
        </w:tc>
        <w:tc>
          <w:tcPr>
            <w:tcW w:w="860" w:type="dxa"/>
            <w:vAlign w:val="bottom"/>
          </w:tcPr>
          <w:p>
            <w:pPr>
              <w:jc w:val="right"/>
              <w:ind w:right="211"/>
              <w:spacing w:after="0"/>
              <w:rPr>
                <w:sz w:val="20"/>
                <w:szCs w:val="20"/>
                <w:color w:val="auto"/>
              </w:rPr>
            </w:pPr>
            <w:r>
              <w:rPr>
                <w:rFonts w:ascii="Arial" w:cs="Arial" w:eastAsia="Arial" w:hAnsi="Arial"/>
                <w:sz w:val="18"/>
                <w:szCs w:val="18"/>
                <w:color w:val="auto"/>
                <w:w w:val="98"/>
              </w:rPr>
              <w:t>, 2018.</w:t>
            </w:r>
          </w:p>
        </w:tc>
        <w:tc>
          <w:tcPr>
            <w:tcW w:w="86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0" w:lineRule="exact"/>
        <w:rPr>
          <w:sz w:val="20"/>
          <w:szCs w:val="20"/>
          <w:color w:val="auto"/>
        </w:rPr>
      </w:pP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240" w:top="457"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201930</wp:posOffset>
            </wp:positionV>
            <wp:extent cx="6961505" cy="6040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1505" cy="60407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 CONSOLIDATED FINANCIAL AND OPERATING DATA</w:t>
      </w:r>
    </w:p>
    <w:p>
      <w:pPr>
        <w:spacing w:after="0" w:line="227" w:lineRule="exact"/>
        <w:rPr>
          <w:sz w:val="20"/>
          <w:szCs w:val="20"/>
          <w:color w:val="auto"/>
        </w:rPr>
      </w:pPr>
    </w:p>
    <w:p>
      <w:pPr>
        <w:ind w:left="420" w:right="260" w:firstLine="424"/>
        <w:spacing w:after="0" w:line="290" w:lineRule="auto"/>
        <w:rPr>
          <w:sz w:val="20"/>
          <w:szCs w:val="20"/>
          <w:color w:val="auto"/>
        </w:rPr>
      </w:pPr>
      <w:r>
        <w:rPr>
          <w:rFonts w:ascii="Arial" w:cs="Arial" w:eastAsia="Arial" w:hAnsi="Arial"/>
          <w:sz w:val="16"/>
          <w:szCs w:val="16"/>
          <w:color w:val="auto"/>
        </w:rPr>
        <w:t>The following summary consolidated statement of comprehensive loss data for the years ended December 31, 2016 and 2017, summary consolidated balance sheet data as of December 31, 2016 and 2017 and summary consolidated cash flow data for the years ended December 31, 2016 and 2017 have been derived from our audited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181"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80" w:type="dxa"/>
            <w:vAlign w:val="bottom"/>
            <w:tcBorders>
              <w:bottom w:val="single" w:sz="8" w:color="auto"/>
            </w:tcBorders>
            <w:gridSpan w:val="5"/>
          </w:tcPr>
          <w:p>
            <w:pPr>
              <w:jc w:val="center"/>
              <w:ind w:left="635"/>
              <w:spacing w:after="0"/>
              <w:rPr>
                <w:sz w:val="20"/>
                <w:szCs w:val="20"/>
                <w:color w:val="auto"/>
              </w:rPr>
            </w:pPr>
            <w:r>
              <w:rPr>
                <w:rFonts w:ascii="Arial" w:cs="Arial" w:eastAsia="Arial" w:hAnsi="Arial"/>
                <w:sz w:val="14"/>
                <w:szCs w:val="14"/>
                <w:b w:val="1"/>
                <w:bCs w:val="1"/>
                <w:color w:val="auto"/>
                <w:w w:val="91"/>
              </w:rPr>
              <w:t>For the Year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tcBorders>
              <w:bottom w:val="single" w:sz="8" w:color="auto"/>
            </w:tcBorders>
          </w:tcPr>
          <w:p>
            <w:pPr>
              <w:jc w:val="right"/>
              <w:ind w:right="295"/>
              <w:spacing w:after="0" w:line="141"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tcBorders>
              <w:bottom w:val="single" w:sz="8" w:color="auto"/>
            </w:tcBorders>
          </w:tcPr>
          <w:p>
            <w:pPr>
              <w:jc w:val="right"/>
              <w:ind w:right="295"/>
              <w:spacing w:after="0" w:line="141" w:lineRule="exact"/>
              <w:rPr>
                <w:sz w:val="20"/>
                <w:szCs w:val="20"/>
                <w:color w:val="auto"/>
              </w:rPr>
            </w:pPr>
            <w:r>
              <w:rPr>
                <w:rFonts w:ascii="Arial" w:cs="Arial" w:eastAsia="Arial" w:hAnsi="Arial"/>
                <w:sz w:val="14"/>
                <w:szCs w:val="14"/>
                <w:b w:val="1"/>
                <w:bCs w:val="1"/>
                <w:color w:val="auto"/>
              </w:rPr>
              <w:t>HK$</w:t>
            </w: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center"/>
              <w:ind w:right="540"/>
              <w:spacing w:after="0" w:line="141" w:lineRule="exact"/>
              <w:rPr>
                <w:sz w:val="20"/>
                <w:szCs w:val="20"/>
                <w:color w:val="auto"/>
              </w:rPr>
            </w:pPr>
            <w:r>
              <w:rPr>
                <w:rFonts w:ascii="Arial" w:cs="Arial" w:eastAsia="Arial" w:hAnsi="Arial"/>
                <w:sz w:val="14"/>
                <w:szCs w:val="14"/>
                <w:b w:val="1"/>
                <w:bCs w:val="1"/>
                <w:color w:val="auto"/>
              </w:rPr>
              <w:t>HK$</w:t>
            </w:r>
          </w:p>
        </w:tc>
        <w:tc>
          <w:tcPr>
            <w:tcW w:w="720" w:type="dxa"/>
            <w:vAlign w:val="bottom"/>
            <w:tcBorders>
              <w:bottom w:val="single" w:sz="8" w:color="auto"/>
            </w:tcBorders>
          </w:tcPr>
          <w:p>
            <w:pPr>
              <w:jc w:val="right"/>
              <w:ind w:right="291"/>
              <w:spacing w:after="0" w:line="141" w:lineRule="exact"/>
              <w:rPr>
                <w:sz w:val="20"/>
                <w:szCs w:val="20"/>
                <w:color w:val="auto"/>
              </w:rPr>
            </w:pPr>
            <w:r>
              <w:rPr>
                <w:rFonts w:ascii="Arial" w:cs="Arial" w:eastAsia="Arial" w:hAnsi="Arial"/>
                <w:sz w:val="14"/>
                <w:szCs w:val="14"/>
                <w:b w:val="1"/>
                <w:bCs w:val="1"/>
                <w:color w:val="auto"/>
              </w:rPr>
              <w:t>US$</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0" w:type="dxa"/>
            <w:vAlign w:val="bottom"/>
            <w:gridSpan w:val="6"/>
          </w:tcPr>
          <w:p>
            <w:pPr>
              <w:jc w:val="center"/>
              <w:spacing w:after="0" w:line="141" w:lineRule="exact"/>
              <w:rPr>
                <w:sz w:val="20"/>
                <w:szCs w:val="20"/>
                <w:color w:val="auto"/>
              </w:rPr>
            </w:pPr>
            <w:r>
              <w:rPr>
                <w:rFonts w:ascii="Arial" w:cs="Arial" w:eastAsia="Arial" w:hAnsi="Arial"/>
                <w:sz w:val="14"/>
                <w:szCs w:val="14"/>
                <w:b w:val="1"/>
                <w:bCs w:val="1"/>
                <w:color w:val="auto"/>
                <w:w w:val="90"/>
              </w:rPr>
              <w:t>(in thousands, except for share and per share data)</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Summary Consolidated Statements of Comprehensive Loss Data :</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Revenues</w:t>
            </w: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Brokerage commission and handling charge income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74,498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5,795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105,872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17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87,015</w:t>
            </w:r>
          </w:p>
        </w:tc>
        <w:tc>
          <w:tcPr>
            <w:tcW w:w="2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311,663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Costs</w:t>
            </w:r>
            <w:r>
              <w:rPr>
                <w:rFonts w:ascii="Arial" w:cs="Arial" w:eastAsia="Arial" w:hAnsi="Arial"/>
                <w:sz w:val="11"/>
                <w:szCs w:val="11"/>
                <w:b w:val="1"/>
                <w:bCs w:val="1"/>
                <w:color w:val="auto"/>
              </w:rPr>
              <w:t>(1)</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Brokerage commission and handling charge expenses</w:t>
            </w:r>
          </w:p>
        </w:tc>
        <w:tc>
          <w:tcPr>
            <w:tcW w:w="3020" w:type="dxa"/>
            <w:vAlign w:val="bottom"/>
            <w:gridSpan w:val="3"/>
          </w:tcPr>
          <w:p>
            <w:pPr>
              <w:jc w:val="right"/>
              <w:ind w:right="180"/>
              <w:spacing w:after="0"/>
              <w:rPr>
                <w:sz w:val="20"/>
                <w:szCs w:val="20"/>
                <w:color w:val="auto"/>
              </w:rPr>
            </w:pPr>
            <w:r>
              <w:rPr>
                <w:rFonts w:ascii="Arial" w:cs="Arial" w:eastAsia="Arial" w:hAnsi="Arial"/>
                <w:sz w:val="18"/>
                <w:szCs w:val="18"/>
                <w:color w:val="auto"/>
              </w:rPr>
              <w:t>(18,730)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(36,777)</w:t>
            </w: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expenses</w:t>
            </w:r>
          </w:p>
        </w:tc>
        <w:tc>
          <w:tcPr>
            <w:tcW w:w="3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(3,459)</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(19,879)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Processing and servicing costs</w:t>
            </w:r>
          </w:p>
        </w:tc>
        <w:tc>
          <w:tcPr>
            <w:tcW w:w="17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(22,880)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(52,446)</w:t>
            </w: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(6,713)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costs</w:t>
            </w:r>
          </w:p>
        </w:tc>
        <w:tc>
          <w:tcPr>
            <w:tcW w:w="1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(45,069)</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(109,102)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Total gross profit</w:t>
            </w:r>
          </w:p>
        </w:tc>
        <w:tc>
          <w:tcPr>
            <w:tcW w:w="17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41,946</w:t>
            </w:r>
          </w:p>
        </w:tc>
        <w:tc>
          <w:tcPr>
            <w:tcW w:w="2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202,561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expenses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(1)</w:t>
            </w:r>
          </w:p>
        </w:tc>
        <w:tc>
          <w:tcPr>
            <w:tcW w:w="3020" w:type="dxa"/>
            <w:vAlign w:val="bottom"/>
            <w:gridSpan w:val="3"/>
          </w:tcPr>
          <w:p>
            <w:pPr>
              <w:jc w:val="right"/>
              <w:ind w:right="180"/>
              <w:spacing w:after="0"/>
              <w:rPr>
                <w:sz w:val="20"/>
                <w:szCs w:val="20"/>
                <w:color w:val="auto"/>
              </w:rPr>
            </w:pPr>
            <w:r>
              <w:rPr>
                <w:rFonts w:ascii="Arial" w:cs="Arial" w:eastAsia="Arial" w:hAnsi="Arial"/>
                <w:sz w:val="18"/>
                <w:szCs w:val="18"/>
                <w:color w:val="auto"/>
              </w:rPr>
              <w:t>(61,624)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(95,526)</w:t>
            </w: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(12,227)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5"/>
                <w:szCs w:val="15"/>
                <w:color w:val="auto"/>
              </w:rPr>
              <w:t>(1)</w:t>
            </w:r>
          </w:p>
        </w:tc>
        <w:tc>
          <w:tcPr>
            <w:tcW w:w="3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(59,198)</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(41,446)</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17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(31,786)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(57,293)</w:t>
            </w: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(7,333)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(152,608)</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(194,265)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(24,865)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Others, net</w:t>
            </w:r>
          </w:p>
        </w:tc>
        <w:tc>
          <w:tcPr>
            <w:tcW w:w="17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24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(Loss)/income before income tax benefit/(expense)</w:t>
            </w:r>
          </w:p>
        </w:tc>
        <w:tc>
          <w:tcPr>
            <w:tcW w:w="3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(111,747)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Income tax benefit/(expense)</w:t>
            </w:r>
          </w:p>
        </w:tc>
        <w:tc>
          <w:tcPr>
            <w:tcW w:w="17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13,276</w:t>
            </w:r>
          </w:p>
        </w:tc>
        <w:tc>
          <w:tcPr>
            <w:tcW w:w="24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(11,480)</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w:t>
            </w:r>
          </w:p>
        </w:tc>
        <w:tc>
          <w:tcPr>
            <w:tcW w:w="1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(98,471)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(8,102)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20" w:type="dxa"/>
            <w:vAlign w:val="bottom"/>
            <w:vMerge w:val="restart"/>
          </w:tcPr>
          <w:p>
            <w:pPr>
              <w:ind w:left="360"/>
              <w:spacing w:after="0"/>
              <w:rPr>
                <w:sz w:val="20"/>
                <w:szCs w:val="20"/>
                <w:color w:val="auto"/>
              </w:rPr>
            </w:pPr>
            <w:r>
              <w:rPr>
                <w:rFonts w:ascii="Arial" w:cs="Arial" w:eastAsia="Arial" w:hAnsi="Arial"/>
                <w:sz w:val="18"/>
                <w:szCs w:val="18"/>
                <w:color w:val="auto"/>
              </w:rPr>
              <w:t>Preferred shares redemption value accretion</w:t>
            </w:r>
          </w:p>
        </w:tc>
        <w:tc>
          <w:tcPr>
            <w:tcW w:w="1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(17,929)</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loss attributable to ordinary shareholder</w:t>
            </w:r>
          </w:p>
        </w:tc>
        <w:tc>
          <w:tcPr>
            <w:tcW w:w="3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(116,400)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(55,817)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(7,142)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Other comprehensive (loss)/income, net of tax</w:t>
            </w:r>
          </w:p>
        </w:tc>
        <w:tc>
          <w:tcPr>
            <w:tcW w:w="1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3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(4,142)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5120" w:type="dxa"/>
            <w:vAlign w:val="bottom"/>
          </w:tcPr>
          <w:p>
            <w:pPr>
              <w:ind w:left="360"/>
              <w:spacing w:after="0"/>
              <w:rPr>
                <w:sz w:val="20"/>
                <w:szCs w:val="20"/>
                <w:color w:val="auto"/>
              </w:rPr>
            </w:pPr>
            <w:r>
              <w:rPr>
                <w:rFonts w:ascii="Arial" w:cs="Arial" w:eastAsia="Arial" w:hAnsi="Arial"/>
                <w:sz w:val="18"/>
                <w:szCs w:val="18"/>
                <w:b w:val="1"/>
                <w:bCs w:val="1"/>
                <w:color w:val="auto"/>
              </w:rPr>
              <w:t>Total comprehensive loss</w:t>
            </w:r>
          </w:p>
        </w:tc>
        <w:tc>
          <w:tcPr>
            <w:tcW w:w="17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(120,542)</w:t>
            </w:r>
          </w:p>
        </w:tc>
        <w:tc>
          <w:tcPr>
            <w:tcW w:w="2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(52,451)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8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1"/>
        </w:trPr>
        <w:tc>
          <w:tcPr>
            <w:tcW w:w="1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740" w:type="dxa"/>
            <w:vAlign w:val="bottom"/>
          </w:tcPr>
          <w:p>
            <w:pPr>
              <w:jc w:val="right"/>
              <w:ind w:right="1391"/>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7"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201930</wp:posOffset>
            </wp:positionV>
            <wp:extent cx="6961505" cy="5878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1505" cy="587883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420" w:type="dxa"/>
        <w:tblCellMar>
          <w:top w:w="0" w:type="dxa"/>
          <w:left w:w="0" w:type="dxa"/>
          <w:bottom w:w="0" w:type="dxa"/>
          <w:right w:w="0" w:type="dxa"/>
        </w:tblCellMar>
      </w:tblPr>
      <w:tr>
        <w:trPr>
          <w:trHeight w:val="170"/>
        </w:trPr>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0" w:type="dxa"/>
            <w:vAlign w:val="bottom"/>
            <w:gridSpan w:val="13"/>
          </w:tcPr>
          <w:p>
            <w:pPr>
              <w:jc w:val="center"/>
              <w:ind w:right="440"/>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47"/>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5"/>
          </w:tcPr>
          <w:p>
            <w:pPr>
              <w:jc w:val="right"/>
              <w:ind w:right="100"/>
              <w:spacing w:after="0" w:line="141"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380"/>
              <w:spacing w:after="0" w:line="141" w:lineRule="exact"/>
              <w:rPr>
                <w:sz w:val="20"/>
                <w:szCs w:val="20"/>
                <w:color w:val="auto"/>
              </w:rPr>
            </w:pPr>
            <w:r>
              <w:rPr>
                <w:rFonts w:ascii="Arial" w:cs="Arial" w:eastAsia="Arial" w:hAnsi="Arial"/>
                <w:sz w:val="14"/>
                <w:szCs w:val="14"/>
                <w:b w:val="1"/>
                <w:bCs w:val="1"/>
                <w:color w:val="auto"/>
              </w:rPr>
              <w:t>HK$</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center"/>
              <w:ind w:right="560"/>
              <w:spacing w:after="0" w:line="141" w:lineRule="exact"/>
              <w:rPr>
                <w:sz w:val="20"/>
                <w:szCs w:val="20"/>
                <w:color w:val="auto"/>
              </w:rPr>
            </w:pPr>
            <w:r>
              <w:rPr>
                <w:rFonts w:ascii="Arial" w:cs="Arial" w:eastAsia="Arial" w:hAnsi="Arial"/>
                <w:sz w:val="14"/>
                <w:szCs w:val="14"/>
                <w:b w:val="1"/>
                <w:bCs w:val="1"/>
                <w:color w:val="auto"/>
              </w:rPr>
              <w:t>HK$</w:t>
            </w:r>
          </w:p>
        </w:tc>
        <w:tc>
          <w:tcPr>
            <w:tcW w:w="940" w:type="dxa"/>
            <w:vAlign w:val="bottom"/>
            <w:tcBorders>
              <w:bottom w:val="single" w:sz="8" w:color="auto"/>
            </w:tcBorders>
            <w:gridSpan w:val="3"/>
          </w:tcPr>
          <w:p>
            <w:pPr>
              <w:jc w:val="right"/>
              <w:ind w:right="420"/>
              <w:spacing w:after="0" w:line="141"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600" w:type="dxa"/>
            <w:vAlign w:val="bottom"/>
            <w:gridSpan w:val="13"/>
          </w:tcPr>
          <w:p>
            <w:pPr>
              <w:jc w:val="center"/>
              <w:spacing w:after="0" w:line="141" w:lineRule="exact"/>
              <w:rPr>
                <w:sz w:val="20"/>
                <w:szCs w:val="20"/>
                <w:color w:val="auto"/>
              </w:rPr>
            </w:pPr>
            <w:r>
              <w:rPr>
                <w:rFonts w:ascii="Arial" w:cs="Arial" w:eastAsia="Arial" w:hAnsi="Arial"/>
                <w:sz w:val="14"/>
                <w:szCs w:val="14"/>
                <w:b w:val="1"/>
                <w:bCs w:val="1"/>
                <w:color w:val="auto"/>
                <w:w w:val="90"/>
              </w:rPr>
              <w:t>(in thousands, except for share and per share data)</w:t>
            </w:r>
          </w:p>
        </w:tc>
        <w:tc>
          <w:tcPr>
            <w:tcW w:w="120" w:type="dxa"/>
            <w:vAlign w:val="bottom"/>
          </w:tcPr>
          <w:p>
            <w:pPr>
              <w:spacing w:after="0"/>
              <w:rPr>
                <w:sz w:val="12"/>
                <w:szCs w:val="12"/>
                <w:color w:val="auto"/>
              </w:rPr>
            </w:pPr>
          </w:p>
        </w:tc>
      </w:tr>
      <w:tr>
        <w:trPr>
          <w:trHeight w:val="215"/>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ordinary shareholder of the Company</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6860" w:type="dxa"/>
            <w:vAlign w:val="bottom"/>
            <w:gridSpan w:val="3"/>
          </w:tcPr>
          <w:p>
            <w:pPr>
              <w:ind w:left="360"/>
              <w:spacing w:after="0"/>
              <w:rPr>
                <w:sz w:val="20"/>
                <w:szCs w:val="20"/>
                <w:color w:val="auto"/>
              </w:rPr>
            </w:pPr>
            <w:r>
              <w:rPr>
                <w:rFonts w:ascii="Arial" w:cs="Arial" w:eastAsia="Arial" w:hAnsi="Arial"/>
                <w:sz w:val="18"/>
                <w:szCs w:val="18"/>
                <w:color w:val="auto"/>
              </w:rPr>
              <w:t>Basic</w:t>
            </w:r>
          </w:p>
        </w:tc>
        <w:tc>
          <w:tcPr>
            <w:tcW w:w="1260" w:type="dxa"/>
            <w:vAlign w:val="bottom"/>
            <w:gridSpan w:val="5"/>
          </w:tcPr>
          <w:p>
            <w:pPr>
              <w:jc w:val="right"/>
              <w:ind w:right="140"/>
              <w:spacing w:after="0"/>
              <w:rPr>
                <w:sz w:val="20"/>
                <w:szCs w:val="20"/>
                <w:color w:val="auto"/>
              </w:rPr>
            </w:pPr>
            <w:r>
              <w:rPr>
                <w:rFonts w:ascii="Arial" w:cs="Arial" w:eastAsia="Arial" w:hAnsi="Arial"/>
                <w:sz w:val="18"/>
                <w:szCs w:val="18"/>
                <w:color w:val="auto"/>
              </w:rPr>
              <w:t>(0.29)</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(0.02)</w:t>
            </w:r>
          </w:p>
        </w:tc>
      </w:tr>
      <w:tr>
        <w:trPr>
          <w:trHeight w:val="215"/>
        </w:trPr>
        <w:tc>
          <w:tcPr>
            <w:tcW w:w="6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r>
      <w:tr>
        <w:trPr>
          <w:trHeight w:val="222"/>
        </w:trPr>
        <w:tc>
          <w:tcPr>
            <w:tcW w:w="6860" w:type="dxa"/>
            <w:vAlign w:val="bottom"/>
            <w:gridSpan w:val="3"/>
          </w:tcPr>
          <w:p>
            <w:pPr>
              <w:spacing w:after="0"/>
              <w:rPr>
                <w:sz w:val="20"/>
                <w:szCs w:val="20"/>
                <w:color w:val="auto"/>
              </w:rPr>
            </w:pPr>
            <w:r>
              <w:rPr>
                <w:rFonts w:ascii="Arial" w:cs="Arial" w:eastAsia="Arial" w:hAnsi="Arial"/>
                <w:sz w:val="18"/>
                <w:szCs w:val="18"/>
                <w:b w:val="1"/>
                <w:bCs w:val="1"/>
                <w:color w:val="auto"/>
                <w:w w:val="96"/>
              </w:rPr>
              <w:t>Weighted average number of ordinary shares used in computing net loss per share</w:t>
            </w: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403,750,000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403,750,000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403,750,000</w:t>
            </w:r>
          </w:p>
        </w:tc>
        <w:tc>
          <w:tcPr>
            <w:tcW w:w="120" w:type="dxa"/>
            <w:vAlign w:val="bottom"/>
            <w:shd w:val="clear" w:color="auto" w:fill="CCEEFF"/>
          </w:tcPr>
          <w:p>
            <w:pPr>
              <w:spacing w:after="0"/>
              <w:rPr>
                <w:sz w:val="18"/>
                <w:szCs w:val="18"/>
                <w:color w:val="auto"/>
              </w:rPr>
            </w:pPr>
          </w:p>
        </w:tc>
      </w:tr>
      <w:tr>
        <w:trPr>
          <w:trHeight w:val="215"/>
        </w:trPr>
        <w:tc>
          <w:tcPr>
            <w:tcW w:w="6860" w:type="dxa"/>
            <w:vAlign w:val="bottom"/>
            <w:gridSpan w:val="3"/>
          </w:tcPr>
          <w:p>
            <w:pPr>
              <w:ind w:left="360"/>
              <w:spacing w:after="0"/>
              <w:rPr>
                <w:sz w:val="20"/>
                <w:szCs w:val="20"/>
                <w:color w:val="auto"/>
              </w:rPr>
            </w:pPr>
            <w:r>
              <w:rPr>
                <w:rFonts w:ascii="Arial" w:cs="Arial" w:eastAsia="Arial" w:hAnsi="Arial"/>
                <w:sz w:val="18"/>
                <w:szCs w:val="18"/>
                <w:color w:val="auto"/>
              </w:rPr>
              <w:t>Diluted</w:t>
            </w: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403,750,000</w:t>
            </w:r>
          </w:p>
        </w:tc>
        <w:tc>
          <w:tcPr>
            <w:tcW w:w="200" w:type="dxa"/>
            <w:vAlign w:val="bottom"/>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403,750,000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403,750,000</w:t>
            </w:r>
          </w:p>
        </w:tc>
        <w:tc>
          <w:tcPr>
            <w:tcW w:w="120" w:type="dxa"/>
            <w:vAlign w:val="bottom"/>
          </w:tcPr>
          <w:p>
            <w:pPr>
              <w:spacing w:after="0"/>
              <w:rPr>
                <w:sz w:val="18"/>
                <w:szCs w:val="18"/>
                <w:color w:val="auto"/>
              </w:rPr>
            </w:pPr>
          </w:p>
        </w:tc>
      </w:tr>
      <w:tr>
        <w:trPr>
          <w:trHeight w:val="141"/>
        </w:trPr>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5"/>
        </w:trPr>
        <w:tc>
          <w:tcPr>
            <w:tcW w:w="6860" w:type="dxa"/>
            <w:vAlign w:val="bottom"/>
            <w:gridSpan w:val="3"/>
          </w:tcPr>
          <w:p>
            <w:pPr>
              <w:spacing w:after="0"/>
              <w:rPr>
                <w:sz w:val="20"/>
                <w:szCs w:val="20"/>
                <w:color w:val="auto"/>
              </w:rPr>
            </w:pPr>
            <w:r>
              <w:rPr>
                <w:rFonts w:ascii="Arial" w:cs="Arial" w:eastAsia="Arial" w:hAnsi="Arial"/>
                <w:sz w:val="16"/>
                <w:szCs w:val="16"/>
                <w:color w:val="auto"/>
              </w:rPr>
              <w:t>Note:</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6"/>
        </w:trPr>
        <w:tc>
          <w:tcPr>
            <w:tcW w:w="6860" w:type="dxa"/>
            <w:vAlign w:val="bottom"/>
            <w:gridSpan w:val="3"/>
          </w:tcPr>
          <w:p>
            <w:pPr>
              <w:spacing w:after="0"/>
              <w:rPr>
                <w:sz w:val="20"/>
                <w:szCs w:val="20"/>
                <w:color w:val="auto"/>
              </w:rPr>
            </w:pPr>
            <w:r>
              <w:rPr>
                <w:rFonts w:ascii="Arial" w:cs="Arial" w:eastAsia="Arial" w:hAnsi="Arial"/>
                <w:sz w:val="16"/>
                <w:szCs w:val="16"/>
                <w:color w:val="auto"/>
              </w:rPr>
              <w:t>(1)  Share-based compensation expenses were allocated as follows:</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5"/>
        </w:trPr>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gridSpan w:val="13"/>
          </w:tcPr>
          <w:p>
            <w:pPr>
              <w:jc w:val="center"/>
              <w:ind w:right="46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jc w:val="right"/>
              <w:ind w:right="67"/>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7"/>
              <w:spacing w:after="0" w:line="141" w:lineRule="exact"/>
              <w:rPr>
                <w:sz w:val="20"/>
                <w:szCs w:val="20"/>
                <w:color w:val="auto"/>
              </w:rPr>
            </w:pPr>
            <w:r>
              <w:rPr>
                <w:rFonts w:ascii="Arial" w:cs="Arial" w:eastAsia="Arial" w:hAnsi="Arial"/>
                <w:sz w:val="14"/>
                <w:szCs w:val="14"/>
                <w:b w:val="1"/>
                <w:bCs w:val="1"/>
                <w:color w:val="auto"/>
              </w:rPr>
              <w:t>HK$</w:t>
            </w:r>
          </w:p>
        </w:tc>
        <w:tc>
          <w:tcPr>
            <w:tcW w:w="360" w:type="dxa"/>
            <w:vAlign w:val="bottom"/>
            <w:tcBorders>
              <w:bottom w:val="single" w:sz="8" w:color="auto"/>
            </w:tcBorders>
            <w:gridSpan w:val="3"/>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4"/>
          </w:tcPr>
          <w:p>
            <w:pPr>
              <w:jc w:val="center"/>
              <w:ind w:right="580"/>
              <w:spacing w:after="0" w:line="141" w:lineRule="exact"/>
              <w:rPr>
                <w:sz w:val="20"/>
                <w:szCs w:val="20"/>
                <w:color w:val="auto"/>
              </w:rPr>
            </w:pPr>
            <w:r>
              <w:rPr>
                <w:rFonts w:ascii="Arial" w:cs="Arial" w:eastAsia="Arial" w:hAnsi="Arial"/>
                <w:sz w:val="14"/>
                <w:szCs w:val="14"/>
                <w:b w:val="1"/>
                <w:bCs w:val="1"/>
                <w:color w:val="auto"/>
                <w:w w:val="99"/>
              </w:rPr>
              <w:t>HK$</w:t>
            </w:r>
          </w:p>
        </w:tc>
        <w:tc>
          <w:tcPr>
            <w:tcW w:w="600" w:type="dxa"/>
            <w:vAlign w:val="bottom"/>
            <w:tcBorders>
              <w:top w:val="single" w:sz="8" w:color="auto"/>
              <w:bottom w:val="single" w:sz="8" w:color="auto"/>
            </w:tcBorders>
          </w:tcPr>
          <w:p>
            <w:pPr>
              <w:jc w:val="right"/>
              <w:ind w:right="98"/>
              <w:spacing w:after="0" w:line="141" w:lineRule="exact"/>
              <w:rPr>
                <w:sz w:val="20"/>
                <w:szCs w:val="20"/>
                <w:color w:val="auto"/>
              </w:rPr>
            </w:pPr>
            <w:r>
              <w:rPr>
                <w:rFonts w:ascii="Arial" w:cs="Arial" w:eastAsia="Arial" w:hAnsi="Arial"/>
                <w:sz w:val="14"/>
                <w:szCs w:val="14"/>
                <w:b w:val="1"/>
                <w:bCs w:val="1"/>
                <w:color w:val="auto"/>
              </w:rPr>
              <w:t>US$</w:t>
            </w:r>
          </w:p>
        </w:tc>
        <w:tc>
          <w:tcPr>
            <w:tcW w:w="460" w:type="dxa"/>
            <w:vAlign w:val="bottom"/>
            <w:gridSpan w:val="3"/>
          </w:tcPr>
          <w:p>
            <w:pPr>
              <w:spacing w:after="0"/>
              <w:rPr>
                <w:sz w:val="12"/>
                <w:szCs w:val="12"/>
                <w:color w:val="auto"/>
              </w:rPr>
            </w:pP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5"/>
          </w:tcPr>
          <w:p>
            <w:pPr>
              <w:jc w:val="center"/>
              <w:ind w:right="320"/>
              <w:spacing w:after="0" w:line="141" w:lineRule="exact"/>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1"/>
        </w:trPr>
        <w:tc>
          <w:tcPr>
            <w:tcW w:w="4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and marketing expenses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161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Research and development expenses</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8,335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6"/>
                <w:szCs w:val="16"/>
                <w:color w:val="auto"/>
              </w:rPr>
              <w:t>8,854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1,133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4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559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754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42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9,155</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9,769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1,250</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2"/>
              </w:rPr>
              <w:t>As of December 31,</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40" w:type="dxa"/>
            <w:vAlign w:val="bottom"/>
            <w:gridSpan w:val="4"/>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41"/>
        </w:trPr>
        <w:tc>
          <w:tcPr>
            <w:tcW w:w="1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Borders>
              <w:top w:val="single" w:sz="8" w:color="auto"/>
            </w:tcBorders>
          </w:tcPr>
          <w:p>
            <w:pPr>
              <w:jc w:val="right"/>
              <w:ind w:right="182"/>
              <w:spacing w:after="0" w:line="141"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tcBorders>
            <w:gridSpan w:val="2"/>
          </w:tcPr>
          <w:p>
            <w:pPr>
              <w:jc w:val="right"/>
              <w:ind w:right="216"/>
              <w:spacing w:after="0" w:line="141"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900" w:type="dxa"/>
            <w:vAlign w:val="bottom"/>
            <w:tcBorders>
              <w:top w:val="single" w:sz="8" w:color="auto"/>
            </w:tcBorders>
          </w:tcPr>
          <w:p>
            <w:pPr>
              <w:jc w:val="right"/>
              <w:ind w:right="216"/>
              <w:spacing w:after="0" w:line="141" w:lineRule="exact"/>
              <w:rPr>
                <w:sz w:val="20"/>
                <w:szCs w:val="20"/>
                <w:color w:val="auto"/>
              </w:rPr>
            </w:pPr>
            <w:r>
              <w:rPr>
                <w:rFonts w:ascii="Arial" w:cs="Arial" w:eastAsia="Arial" w:hAnsi="Arial"/>
                <w:sz w:val="14"/>
                <w:szCs w:val="14"/>
                <w:b w:val="1"/>
                <w:bCs w:val="1"/>
                <w:color w:val="auto"/>
              </w:rPr>
              <w:t>2017</w:t>
            </w:r>
          </w:p>
        </w:tc>
        <w:tc>
          <w:tcPr>
            <w:tcW w:w="1140" w:type="dxa"/>
            <w:vAlign w:val="bottom"/>
            <w:tcBorders>
              <w:top w:val="single" w:sz="8" w:color="auto"/>
            </w:tcBorders>
            <w:gridSpan w:val="2"/>
          </w:tcPr>
          <w:p>
            <w:pPr>
              <w:jc w:val="right"/>
              <w:ind w:right="236"/>
              <w:spacing w:after="0" w:line="141"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62"/>
              <w:spacing w:after="0" w:line="141" w:lineRule="exact"/>
              <w:rPr>
                <w:sz w:val="20"/>
                <w:szCs w:val="20"/>
                <w:color w:val="auto"/>
              </w:rPr>
            </w:pPr>
            <w:r>
              <w:rPr>
                <w:rFonts w:ascii="Arial" w:cs="Arial" w:eastAsia="Arial" w:hAnsi="Arial"/>
                <w:sz w:val="14"/>
                <w:szCs w:val="14"/>
                <w:b w:val="1"/>
                <w:bCs w:val="1"/>
                <w:color w:val="auto"/>
              </w:rPr>
              <w:t>HK$</w:t>
            </w:r>
          </w:p>
        </w:tc>
        <w:tc>
          <w:tcPr>
            <w:tcW w:w="2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6"/>
              <w:spacing w:after="0" w:line="141" w:lineRule="exact"/>
              <w:rPr>
                <w:sz w:val="20"/>
                <w:szCs w:val="20"/>
                <w:color w:val="auto"/>
              </w:rPr>
            </w:pPr>
            <w:r>
              <w:rPr>
                <w:rFonts w:ascii="Arial" w:cs="Arial" w:eastAsia="Arial" w:hAnsi="Arial"/>
                <w:sz w:val="14"/>
                <w:szCs w:val="14"/>
                <w:b w:val="1"/>
                <w:bCs w:val="1"/>
                <w:color w:val="auto"/>
              </w:rPr>
              <w:t>HK$</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5"/>
              </w:rPr>
              <w:t>US$</w:t>
            </w:r>
          </w:p>
        </w:tc>
        <w:tc>
          <w:tcPr>
            <w:tcW w:w="26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1" w:lineRule="exact"/>
              <w:rPr>
                <w:sz w:val="20"/>
                <w:szCs w:val="20"/>
                <w:color w:val="auto"/>
              </w:rPr>
            </w:pPr>
            <w:r>
              <w:rPr>
                <w:rFonts w:ascii="Arial" w:cs="Arial" w:eastAsia="Arial" w:hAnsi="Arial"/>
                <w:sz w:val="14"/>
                <w:szCs w:val="14"/>
                <w:b w:val="1"/>
                <w:bCs w:val="1"/>
                <w:color w:val="auto"/>
              </w:rPr>
              <w:t>HK$</w:t>
            </w:r>
          </w:p>
        </w:tc>
        <w:tc>
          <w:tcPr>
            <w:tcW w:w="2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6"/>
              <w:spacing w:after="0" w:line="141"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375,263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48,032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375,263</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Cash held on behalf of clients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3,345,172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7,176,579</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918,567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7,176,579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918,567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financial securities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6,541</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Loans and advances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2,907,967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372,205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2,907,967</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372,205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Receivables:</w:t>
            </w: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Clients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792,480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218,960</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28,026</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218,960</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rPr>
              <w:t>Brokers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9,918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106,078</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13,577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Clearing organization</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55,892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55,892</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7,041</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45,876</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65,918</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4,517,483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10,923,885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1,398,203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10,923,885</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1,398,203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1"/>
        </w:trPr>
        <w:tc>
          <w:tcPr>
            <w:tcW w:w="1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80" w:type="dxa"/>
            <w:vAlign w:val="bottom"/>
            <w:gridSpan w:val="2"/>
          </w:tcPr>
          <w:p>
            <w:pPr>
              <w:jc w:val="right"/>
              <w:ind w:right="622"/>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7"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50" w:type="dxa"/>
        <w:tblCellMar>
          <w:top w:w="0" w:type="dxa"/>
          <w:left w:w="0" w:type="dxa"/>
          <w:bottom w:w="0" w:type="dxa"/>
          <w:right w:w="0" w:type="dxa"/>
        </w:tblCellMar>
      </w:tblPr>
      <w:tr>
        <w:trPr>
          <w:trHeight w:val="316"/>
        </w:trPr>
        <w:tc>
          <w:tcPr>
            <w:tcW w:w="180" w:type="dxa"/>
            <w:vAlign w:val="bottom"/>
            <w:tcBorders>
              <w:top w:val="single" w:sz="8" w:color="auto"/>
              <w:left w:val="single" w:sz="8" w:color="auto"/>
            </w:tcBorders>
          </w:tcPr>
          <w:p>
            <w:pPr>
              <w:spacing w:after="0"/>
              <w:rPr>
                <w:sz w:val="24"/>
                <w:szCs w:val="24"/>
                <w:color w:val="auto"/>
              </w:rPr>
            </w:pPr>
          </w:p>
        </w:tc>
        <w:tc>
          <w:tcPr>
            <w:tcW w:w="5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right w:val="single" w:sz="8" w:color="auto"/>
            </w:tcBorders>
            <w:gridSpan w:val="11"/>
          </w:tcPr>
          <w:p>
            <w:pPr>
              <w:jc w:val="center"/>
              <w:ind w:right="8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0"/>
              </w:rPr>
              <w:t>As of December 31,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Borders>
              <w:right w:val="single" w:sz="8" w:color="auto"/>
            </w:tcBorders>
            <w:gridSpan w:val="12"/>
          </w:tcPr>
          <w:p>
            <w:pPr>
              <w:ind w:left="160"/>
              <w:spacing w:after="0" w:line="14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180" w:type="dxa"/>
            <w:vAlign w:val="bottom"/>
            <w:tcBorders>
              <w:left w:val="single" w:sz="8" w:color="auto"/>
            </w:tcBorders>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Borders>
              <w:right w:val="single" w:sz="8" w:color="auto"/>
            </w:tcBorders>
            <w:gridSpan w:val="11"/>
          </w:tcPr>
          <w:p>
            <w:pPr>
              <w:jc w:val="center"/>
              <w:ind w:right="8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jc w:val="right"/>
              <w:ind w:right="199"/>
              <w:spacing w:after="0" w:line="141"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35"/>
              <w:spacing w:after="0" w:line="141"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4"/>
          </w:tcPr>
          <w:p>
            <w:pPr>
              <w:ind w:left="300"/>
              <w:spacing w:after="0" w:line="141"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140"/>
              <w:spacing w:after="0" w:line="141"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60"/>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79"/>
              <w:spacing w:after="0" w:line="141" w:lineRule="exact"/>
              <w:rPr>
                <w:sz w:val="20"/>
                <w:szCs w:val="20"/>
                <w:color w:val="auto"/>
              </w:rPr>
            </w:pPr>
            <w:r>
              <w:rPr>
                <w:rFonts w:ascii="Arial" w:cs="Arial" w:eastAsia="Arial" w:hAnsi="Arial"/>
                <w:sz w:val="14"/>
                <w:szCs w:val="14"/>
                <w:b w:val="1"/>
                <w:bCs w:val="1"/>
                <w:color w:val="auto"/>
              </w:rPr>
              <w:t>HK$</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1" w:lineRule="exact"/>
              <w:rPr>
                <w:sz w:val="20"/>
                <w:szCs w:val="20"/>
                <w:color w:val="auto"/>
              </w:rPr>
            </w:pPr>
            <w:r>
              <w:rPr>
                <w:rFonts w:ascii="Arial" w:cs="Arial" w:eastAsia="Arial" w:hAnsi="Arial"/>
                <w:sz w:val="14"/>
                <w:szCs w:val="14"/>
                <w:b w:val="1"/>
                <w:bCs w:val="1"/>
                <w:color w:val="auto"/>
              </w:rPr>
              <w:t>HK$</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ind w:left="100"/>
              <w:spacing w:after="0" w:line="141" w:lineRule="exact"/>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4"/>
          </w:tcPr>
          <w:p>
            <w:pPr>
              <w:ind w:left="140"/>
              <w:spacing w:after="0" w:line="141" w:lineRule="exact"/>
              <w:rPr>
                <w:sz w:val="20"/>
                <w:szCs w:val="20"/>
                <w:color w:val="auto"/>
              </w:rPr>
            </w:pPr>
            <w:r>
              <w:rPr>
                <w:rFonts w:ascii="Arial" w:cs="Arial" w:eastAsia="Arial" w:hAnsi="Arial"/>
                <w:sz w:val="14"/>
                <w:szCs w:val="14"/>
                <w:b w:val="1"/>
                <w:bCs w:val="1"/>
                <w:color w:val="auto"/>
              </w:rPr>
              <w:t>HK$</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180"/>
              <w:spacing w:after="0" w:line="141"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7"/>
          </w:tcPr>
          <w:p>
            <w:pPr>
              <w:jc w:val="right"/>
              <w:ind w:right="140"/>
              <w:spacing w:after="0" w:line="141"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6,479</w:t>
            </w:r>
          </w:p>
        </w:tc>
        <w:tc>
          <w:tcPr>
            <w:tcW w:w="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14,687</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14,687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1,880</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Payables: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 w:type="dxa"/>
            <w:vAlign w:val="bottom"/>
            <w:tcBorders>
              <w:left w:val="single" w:sz="8" w:color="auto"/>
            </w:tcBorders>
          </w:tcPr>
          <w:p>
            <w:pPr>
              <w:spacing w:after="0"/>
              <w:rPr>
                <w:sz w:val="19"/>
                <w:szCs w:val="19"/>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Clients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4,107,782</w:t>
            </w: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7,340,823</w:t>
            </w:r>
          </w:p>
        </w:tc>
        <w:tc>
          <w:tcPr>
            <w:tcW w:w="160" w:type="dxa"/>
            <w:vAlign w:val="bottom"/>
          </w:tcPr>
          <w:p>
            <w:pPr>
              <w:spacing w:after="0"/>
              <w:rPr>
                <w:sz w:val="19"/>
                <w:szCs w:val="19"/>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939,589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2"/>
              </w:rPr>
              <w:t>7,340,823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939,589</w:t>
            </w:r>
          </w:p>
        </w:tc>
        <w:tc>
          <w:tcPr>
            <w:tcW w:w="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Brokers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31,446</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929,692</w:t>
            </w:r>
          </w:p>
        </w:tc>
        <w:tc>
          <w:tcPr>
            <w:tcW w:w="1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118,996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929,692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118,996</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8"/>
                <w:szCs w:val="18"/>
                <w:color w:val="auto"/>
              </w:rPr>
              <w:t>Clearing organization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10,441</w:t>
            </w:r>
          </w:p>
        </w:tc>
        <w:tc>
          <w:tcPr>
            <w:tcW w:w="6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82,878</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10,608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82,878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10,608</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Short-term borrowings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161,179</w:t>
            </w:r>
          </w:p>
        </w:tc>
        <w:tc>
          <w:tcPr>
            <w:tcW w:w="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1,542,448</w:t>
            </w:r>
          </w:p>
        </w:tc>
        <w:tc>
          <w:tcPr>
            <w:tcW w:w="16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197,426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2"/>
              </w:rPr>
              <w:t>1,542,448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197,426</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Borders>
              <w:left w:val="single" w:sz="8" w:color="auto"/>
            </w:tcBorders>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7,771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60,717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7,771</w:t>
            </w:r>
          </w:p>
        </w:tc>
        <w:tc>
          <w:tcPr>
            <w:tcW w:w="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4,378,527</w:t>
            </w: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9,973,311</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1,276,534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9,973,311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1,276,534</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329,175</w:t>
            </w:r>
          </w:p>
        </w:tc>
        <w:tc>
          <w:tcPr>
            <w:tcW w:w="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1,183,475</w:t>
            </w:r>
          </w:p>
        </w:tc>
        <w:tc>
          <w:tcPr>
            <w:tcW w:w="16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b w:val="1"/>
                <w:bCs w:val="1"/>
                <w:color w:val="auto"/>
              </w:rPr>
              <w:t>151,480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7"/>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(190,219)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(232,901)</w:t>
            </w:r>
          </w:p>
        </w:tc>
        <w:tc>
          <w:tcPr>
            <w:tcW w:w="980" w:type="dxa"/>
            <w:vAlign w:val="bottom"/>
            <w:gridSpan w:val="6"/>
            <w:shd w:val="clear" w:color="auto" w:fill="CCEEFF"/>
          </w:tcPr>
          <w:p>
            <w:pPr>
              <w:ind w:left="320"/>
              <w:spacing w:after="0"/>
              <w:rPr>
                <w:sz w:val="20"/>
                <w:szCs w:val="20"/>
                <w:color w:val="auto"/>
              </w:rPr>
            </w:pPr>
            <w:r>
              <w:rPr>
                <w:rFonts w:ascii="Arial" w:cs="Arial" w:eastAsia="Arial" w:hAnsi="Arial"/>
                <w:sz w:val="18"/>
                <w:szCs w:val="18"/>
                <w:b w:val="1"/>
                <w:bCs w:val="1"/>
                <w:color w:val="auto"/>
                <w:w w:val="95"/>
              </w:rPr>
              <w:t>(29,811)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950,574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121,669</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0"/>
              </w:rPr>
              <w:t>Total liabilities, mezzanine equity and shareholders’ (deficit)/equity</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4,517,483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10,923,885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1,398,203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10,923,885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1,398,203</w:t>
            </w:r>
          </w:p>
        </w:tc>
        <w:tc>
          <w:tcPr>
            <w:tcW w:w="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80" w:type="dxa"/>
            <w:vAlign w:val="bottom"/>
            <w:tcBorders>
              <w:left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Borders>
              <w:right w:val="single" w:sz="8" w:color="auto"/>
            </w:tcBorders>
            <w:gridSpan w:val="20"/>
          </w:tcPr>
          <w:p>
            <w:pPr>
              <w:ind w:left="1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25"/>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8"/>
          </w:tcPr>
          <w:p>
            <w:pPr>
              <w:ind w:left="700"/>
              <w:spacing w:after="0" w:line="141"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4"/>
          </w:tcPr>
          <w:p>
            <w:pPr>
              <w:jc w:val="right"/>
              <w:ind w:right="260"/>
              <w:spacing w:after="0" w:line="141" w:lineRule="exact"/>
              <w:rPr>
                <w:sz w:val="20"/>
                <w:szCs w:val="20"/>
                <w:color w:val="auto"/>
              </w:rPr>
            </w:pPr>
            <w:r>
              <w:rPr>
                <w:rFonts w:ascii="Arial" w:cs="Arial" w:eastAsia="Arial" w:hAnsi="Arial"/>
                <w:sz w:val="14"/>
                <w:szCs w:val="14"/>
                <w:b w:val="1"/>
                <w:bCs w:val="1"/>
                <w:color w:val="auto"/>
              </w:rPr>
              <w:t>HK$</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8"/>
          </w:tcPr>
          <w:p>
            <w:pPr>
              <w:ind w:left="40"/>
              <w:spacing w:after="0" w:line="141" w:lineRule="exact"/>
              <w:rPr>
                <w:sz w:val="20"/>
                <w:szCs w:val="20"/>
                <w:color w:val="auto"/>
              </w:rPr>
            </w:pPr>
            <w:r>
              <w:rPr>
                <w:rFonts w:ascii="Arial" w:cs="Arial" w:eastAsia="Arial" w:hAnsi="Arial"/>
                <w:sz w:val="14"/>
                <w:szCs w:val="14"/>
                <w:b w:val="1"/>
                <w:bCs w:val="1"/>
                <w:color w:val="auto"/>
              </w:rPr>
              <w:t>HK$</w:t>
            </w:r>
          </w:p>
        </w:tc>
        <w:tc>
          <w:tcPr>
            <w:tcW w:w="680" w:type="dxa"/>
            <w:vAlign w:val="bottom"/>
            <w:tcBorders>
              <w:bottom w:val="single" w:sz="8" w:color="auto"/>
            </w:tcBorders>
          </w:tcPr>
          <w:p>
            <w:pPr>
              <w:jc w:val="right"/>
              <w:ind w:right="135"/>
              <w:spacing w:after="0" w:line="141" w:lineRule="exact"/>
              <w:rPr>
                <w:sz w:val="20"/>
                <w:szCs w:val="20"/>
                <w:color w:val="auto"/>
              </w:rPr>
            </w:pPr>
            <w:r>
              <w:rPr>
                <w:rFonts w:ascii="Arial" w:cs="Arial" w:eastAsia="Arial" w:hAnsi="Arial"/>
                <w:sz w:val="14"/>
                <w:szCs w:val="14"/>
                <w:b w:val="1"/>
                <w:bCs w:val="1"/>
                <w:color w:val="auto"/>
              </w:rPr>
              <w:t>US$</w:t>
            </w:r>
          </w:p>
        </w:tc>
        <w:tc>
          <w:tcPr>
            <w:tcW w:w="120" w:type="dxa"/>
            <w:vAlign w:val="bottom"/>
            <w:gridSpan w:val="2"/>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11"/>
          </w:tcPr>
          <w:p>
            <w:pPr>
              <w:ind w:left="80"/>
              <w:spacing w:after="0" w:line="141"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Cash Flow Data:</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cash generated from operating activities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7"/>
          </w:tcPr>
          <w:p>
            <w:pPr>
              <w:jc w:val="right"/>
              <w:spacing w:after="0"/>
              <w:rPr>
                <w:sz w:val="20"/>
                <w:szCs w:val="20"/>
                <w:color w:val="auto"/>
              </w:rPr>
            </w:pPr>
            <w:r>
              <w:rPr>
                <w:rFonts w:ascii="Arial" w:cs="Arial" w:eastAsia="Arial" w:hAnsi="Arial"/>
                <w:sz w:val="18"/>
                <w:szCs w:val="18"/>
                <w:color w:val="auto"/>
              </w:rPr>
              <w:t>1,397,692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97"/>
              </w:rPr>
              <w:t>1,855,328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237,475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9"/>
            <w:shd w:val="clear" w:color="auto" w:fill="CCEEFF"/>
          </w:tcPr>
          <w:p>
            <w:pPr>
              <w:ind w:left="560"/>
              <w:spacing w:after="0"/>
              <w:rPr>
                <w:sz w:val="20"/>
                <w:szCs w:val="20"/>
                <w:color w:val="auto"/>
              </w:rPr>
            </w:pPr>
            <w:r>
              <w:rPr>
                <w:rFonts w:ascii="Arial" w:cs="Arial" w:eastAsia="Arial" w:hAnsi="Arial"/>
                <w:sz w:val="18"/>
                <w:szCs w:val="18"/>
                <w:color w:val="auto"/>
              </w:rPr>
              <w:t>(6,230)</w:t>
            </w:r>
          </w:p>
        </w:tc>
        <w:tc>
          <w:tcPr>
            <w:tcW w:w="2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(5,145)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(658)</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cash generated from financing activities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7"/>
          </w:tcPr>
          <w:p>
            <w:pPr>
              <w:jc w:val="right"/>
              <w:spacing w:after="0"/>
              <w:rPr>
                <w:sz w:val="20"/>
                <w:szCs w:val="20"/>
                <w:color w:val="auto"/>
              </w:rPr>
            </w:pPr>
            <w:r>
              <w:rPr>
                <w:rFonts w:ascii="Arial" w:cs="Arial" w:eastAsia="Arial" w:hAnsi="Arial"/>
                <w:sz w:val="18"/>
                <w:szCs w:val="18"/>
                <w:color w:val="auto"/>
              </w:rPr>
              <w:t>147,594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97"/>
              </w:rPr>
              <w:t>2,155,846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275,936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62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Effect of exchange rate changes on cash, cash equivalents and restricted cash</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21,625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7"/>
          </w:tcPr>
          <w:p>
            <w:pPr>
              <w:jc w:val="right"/>
              <w:spacing w:after="0"/>
              <w:rPr>
                <w:sz w:val="20"/>
                <w:szCs w:val="20"/>
                <w:color w:val="auto"/>
              </w:rPr>
            </w:pPr>
            <w:r>
              <w:rPr>
                <w:rFonts w:ascii="Arial" w:cs="Arial" w:eastAsia="Arial" w:hAnsi="Arial"/>
                <w:sz w:val="18"/>
                <w:szCs w:val="18"/>
                <w:color w:val="auto"/>
              </w:rPr>
              <w:t>1,539,133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97"/>
              </w:rPr>
              <w:t>4,027,654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515,521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cash equivalents and restricted cash at beginning of the year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1,985,055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7"/>
              </w:rPr>
              <w:t>3,524,188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451,078</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the year</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7"/>
          </w:tcPr>
          <w:p>
            <w:pPr>
              <w:jc w:val="right"/>
              <w:spacing w:after="0"/>
              <w:rPr>
                <w:sz w:val="20"/>
                <w:szCs w:val="20"/>
                <w:color w:val="auto"/>
              </w:rPr>
            </w:pPr>
            <w:r>
              <w:rPr>
                <w:rFonts w:ascii="Arial" w:cs="Arial" w:eastAsia="Arial" w:hAnsi="Arial"/>
                <w:sz w:val="18"/>
                <w:szCs w:val="18"/>
                <w:color w:val="auto"/>
              </w:rPr>
              <w:t>3,524,188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97"/>
              </w:rPr>
              <w:t>7,551,842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966,599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8"/>
                <w:szCs w:val="18"/>
                <w:b w:val="1"/>
                <w:bCs w:val="1"/>
                <w:color w:val="auto"/>
              </w:rPr>
              <w:t>Summary Operating Data:</w:t>
            </w: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5360" w:type="dxa"/>
            <w:vAlign w:val="bottom"/>
            <w:tcBorders>
              <w:left w:val="single" w:sz="8" w:color="auto"/>
            </w:tcBorders>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80" w:type="dxa"/>
            <w:vAlign w:val="bottom"/>
            <w:tcBorders>
              <w:left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right w:val="single" w:sz="8" w:color="auto"/>
            </w:tcBorders>
            <w:gridSpan w:val="13"/>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4"/>
          </w:tcPr>
          <w:p>
            <w:pPr>
              <w:jc w:val="right"/>
              <w:spacing w:after="0" w:line="141"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Users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w w:val="94"/>
              </w:rPr>
              <w:t>3,191,349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3,902,565</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Registered clients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92"/>
              </w:rPr>
              <w:t>148,320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286,502</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Paying clients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35,456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80,057</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180" w:type="dxa"/>
            <w:vAlign w:val="bottom"/>
            <w:tcBorders>
              <w:left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Borders>
              <w:right w:val="single" w:sz="8" w:color="auto"/>
            </w:tcBorders>
            <w:gridSpan w:val="20"/>
          </w:tcPr>
          <w:p>
            <w:pPr>
              <w:ind w:left="2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3"/>
          </w:tcPr>
          <w:p>
            <w:pPr>
              <w:spacing w:after="0"/>
              <w:rPr>
                <w:sz w:val="12"/>
                <w:szCs w:val="12"/>
                <w:color w:val="auto"/>
              </w:rPr>
            </w:pPr>
          </w:p>
        </w:tc>
        <w:tc>
          <w:tcPr>
            <w:tcW w:w="460" w:type="dxa"/>
            <w:vAlign w:val="bottom"/>
            <w:tcBorders>
              <w:top w:val="single" w:sz="8" w:color="auto"/>
            </w:tcBorders>
          </w:tcPr>
          <w:p>
            <w:pPr>
              <w:ind w:left="160"/>
              <w:spacing w:after="0" w:line="141"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10"/>
          </w:tcPr>
          <w:p>
            <w:pPr>
              <w:jc w:val="right"/>
              <w:ind w:right="495"/>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gridSpan w:val="3"/>
          </w:tcPr>
          <w:p>
            <w:pPr>
              <w:ind w:left="140"/>
              <w:spacing w:after="0" w:line="141" w:lineRule="exact"/>
              <w:rPr>
                <w:sz w:val="20"/>
                <w:szCs w:val="20"/>
                <w:color w:val="auto"/>
              </w:rPr>
            </w:pPr>
            <w:r>
              <w:rPr>
                <w:rFonts w:ascii="Arial" w:cs="Arial" w:eastAsia="Arial" w:hAnsi="Arial"/>
                <w:sz w:val="14"/>
                <w:szCs w:val="14"/>
                <w:b w:val="1"/>
                <w:bCs w:val="1"/>
                <w:color w:val="auto"/>
              </w:rPr>
              <w:t>HK$</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8"/>
          </w:tcPr>
          <w:p>
            <w:pPr>
              <w:ind w:left="140"/>
              <w:spacing w:after="0" w:line="141" w:lineRule="exact"/>
              <w:rPr>
                <w:sz w:val="20"/>
                <w:szCs w:val="20"/>
                <w:color w:val="auto"/>
              </w:rPr>
            </w:pPr>
            <w:r>
              <w:rPr>
                <w:rFonts w:ascii="Arial" w:cs="Arial" w:eastAsia="Arial" w:hAnsi="Arial"/>
                <w:sz w:val="14"/>
                <w:szCs w:val="14"/>
                <w:b w:val="1"/>
                <w:bCs w:val="1"/>
                <w:color w:val="auto"/>
              </w:rPr>
              <w:t>HK$</w:t>
            </w:r>
          </w:p>
        </w:tc>
        <w:tc>
          <w:tcPr>
            <w:tcW w:w="800" w:type="dxa"/>
            <w:vAlign w:val="bottom"/>
            <w:tcBorders>
              <w:top w:val="single" w:sz="8" w:color="auto"/>
              <w:bottom w:val="single" w:sz="8" w:color="auto"/>
            </w:tcBorders>
            <w:gridSpan w:val="3"/>
          </w:tcPr>
          <w:p>
            <w:pPr>
              <w:ind w:left="360"/>
              <w:spacing w:after="0" w:line="141" w:lineRule="exact"/>
              <w:rPr>
                <w:sz w:val="20"/>
                <w:szCs w:val="20"/>
                <w:color w:val="auto"/>
              </w:rPr>
            </w:pPr>
            <w:r>
              <w:rPr>
                <w:rFonts w:ascii="Arial" w:cs="Arial" w:eastAsia="Arial" w:hAnsi="Arial"/>
                <w:sz w:val="14"/>
                <w:szCs w:val="14"/>
                <w:b w:val="1"/>
                <w:bCs w:val="1"/>
                <w:color w:val="auto"/>
              </w:rPr>
              <w:t>US$</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9"/>
          </w:tcPr>
          <w:p>
            <w:pPr>
              <w:ind w:left="140"/>
              <w:spacing w:after="0" w:line="141" w:lineRule="exact"/>
              <w:rPr>
                <w:sz w:val="20"/>
                <w:szCs w:val="20"/>
                <w:color w:val="auto"/>
              </w:rPr>
            </w:pPr>
            <w:r>
              <w:rPr>
                <w:rFonts w:ascii="Arial" w:cs="Arial" w:eastAsia="Arial" w:hAnsi="Arial"/>
                <w:sz w:val="14"/>
                <w:szCs w:val="14"/>
                <w:b w:val="1"/>
                <w:bCs w:val="1"/>
                <w:color w:val="auto"/>
              </w:rPr>
              <w:t>(in billion)</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Trading volume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w w:val="88"/>
              </w:rPr>
              <w:t>517.9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180" w:type="dxa"/>
            <w:vAlign w:val="bottom"/>
            <w:tcBorders>
              <w:left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right w:val="single" w:sz="8" w:color="auto"/>
            </w:tcBorders>
            <w:gridSpan w:val="13"/>
          </w:tcPr>
          <w:p>
            <w:pPr>
              <w:ind w:lef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5"/>
          </w:tcPr>
          <w:p>
            <w:pPr>
              <w:spacing w:after="0"/>
              <w:rPr>
                <w:sz w:val="12"/>
                <w:szCs w:val="12"/>
                <w:color w:val="auto"/>
              </w:rPr>
            </w:pPr>
          </w:p>
        </w:tc>
        <w:tc>
          <w:tcPr>
            <w:tcW w:w="360" w:type="dxa"/>
            <w:vAlign w:val="bottom"/>
            <w:tcBorders>
              <w:top w:val="single" w:sz="8" w:color="auto"/>
              <w:bottom w:val="single" w:sz="8" w:color="auto"/>
            </w:tcBorders>
            <w:gridSpan w:val="4"/>
          </w:tcPr>
          <w:p>
            <w:pPr>
              <w:ind w:left="40"/>
              <w:spacing w:after="0" w:line="141"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15"/>
              <w:spacing w:after="0" w:line="141"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gridSpan w:val="5"/>
          </w:tcPr>
          <w:p>
            <w:pPr>
              <w:ind w:left="20"/>
              <w:spacing w:after="0" w:line="141" w:lineRule="exact"/>
              <w:rPr>
                <w:sz w:val="20"/>
                <w:szCs w:val="20"/>
                <w:color w:val="auto"/>
              </w:rPr>
            </w:pPr>
            <w:r>
              <w:rPr>
                <w:rFonts w:ascii="Arial" w:cs="Arial" w:eastAsia="Arial" w:hAnsi="Arial"/>
                <w:sz w:val="14"/>
                <w:szCs w:val="14"/>
                <w:b w:val="1"/>
                <w:bCs w:val="1"/>
                <w:color w:val="auto"/>
              </w:rPr>
              <w:t>HK$</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6"/>
          </w:tcPr>
          <w:p>
            <w:pPr>
              <w:ind w:left="40"/>
              <w:spacing w:after="0" w:line="141" w:lineRule="exact"/>
              <w:rPr>
                <w:sz w:val="20"/>
                <w:szCs w:val="20"/>
                <w:color w:val="auto"/>
              </w:rPr>
            </w:pPr>
            <w:r>
              <w:rPr>
                <w:rFonts w:ascii="Arial" w:cs="Arial" w:eastAsia="Arial" w:hAnsi="Arial"/>
                <w:sz w:val="14"/>
                <w:szCs w:val="14"/>
                <w:b w:val="1"/>
                <w:bCs w:val="1"/>
                <w:color w:val="auto"/>
              </w:rPr>
              <w:t>HK$</w:t>
            </w:r>
          </w:p>
        </w:tc>
        <w:tc>
          <w:tcPr>
            <w:tcW w:w="800" w:type="dxa"/>
            <w:vAlign w:val="bottom"/>
            <w:tcBorders>
              <w:bottom w:val="single" w:sz="8" w:color="auto"/>
            </w:tcBorders>
            <w:gridSpan w:val="3"/>
          </w:tcPr>
          <w:p>
            <w:pPr>
              <w:ind w:left="480"/>
              <w:spacing w:after="0" w:line="141" w:lineRule="exact"/>
              <w:rPr>
                <w:sz w:val="20"/>
                <w:szCs w:val="20"/>
                <w:color w:val="auto"/>
              </w:rPr>
            </w:pPr>
            <w:r>
              <w:rPr>
                <w:rFonts w:ascii="Arial" w:cs="Arial" w:eastAsia="Arial" w:hAnsi="Arial"/>
                <w:sz w:val="14"/>
                <w:szCs w:val="14"/>
                <w:b w:val="1"/>
                <w:bCs w:val="1"/>
                <w:color w:val="auto"/>
              </w:rPr>
              <w:t>US$</w:t>
            </w: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 w:type="dxa"/>
            <w:vAlign w:val="bottom"/>
            <w:tcBorders>
              <w:left w:val="single" w:sz="8" w:color="auto"/>
            </w:tcBorders>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8"/>
          </w:tcPr>
          <w:p>
            <w:pPr>
              <w:ind w:left="160"/>
              <w:spacing w:after="0" w:line="141" w:lineRule="exact"/>
              <w:rPr>
                <w:sz w:val="20"/>
                <w:szCs w:val="20"/>
                <w:color w:val="auto"/>
              </w:rPr>
            </w:pPr>
            <w:r>
              <w:rPr>
                <w:rFonts w:ascii="Arial" w:cs="Arial" w:eastAsia="Arial" w:hAnsi="Arial"/>
                <w:sz w:val="14"/>
                <w:szCs w:val="14"/>
                <w:b w:val="1"/>
                <w:bCs w:val="1"/>
                <w:color w:val="auto"/>
                <w:w w:val="95"/>
              </w:rPr>
              <w:t>(in billion)</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Client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10"/>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960" w:type="dxa"/>
            <w:vAlign w:val="bottom"/>
            <w:gridSpan w:val="7"/>
            <w:shd w:val="clear" w:color="auto" w:fill="CCEEFF"/>
          </w:tcPr>
          <w:p>
            <w:pPr>
              <w:jc w:val="center"/>
              <w:ind w:left="496"/>
              <w:spacing w:after="0"/>
              <w:rPr>
                <w:sz w:val="20"/>
                <w:szCs w:val="20"/>
                <w:color w:val="auto"/>
              </w:rPr>
            </w:pPr>
            <w:r>
              <w:rPr>
                <w:rFonts w:ascii="Arial" w:cs="Arial" w:eastAsia="Arial" w:hAnsi="Arial"/>
                <w:sz w:val="18"/>
                <w:szCs w:val="18"/>
                <w:color w:val="auto"/>
                <w:w w:val="85"/>
              </w:rPr>
              <w:t>44.4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0" w:type="dxa"/>
            <w:vAlign w:val="bottom"/>
            <w:tcBorders>
              <w:left w:val="single" w:sz="8" w:color="auto"/>
              <w:bottom w:val="single" w:sz="8" w:color="auto"/>
            </w:tcBorders>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1"/>
        </w:trPr>
        <w:tc>
          <w:tcPr>
            <w:tcW w:w="1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7"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future prospects.</w:t>
      </w:r>
    </w:p>
    <w:p>
      <w:pPr>
        <w:spacing w:after="0" w:line="115"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We launched our online brokerage business in 2012 and have a limited operating history. We have limited experience in most aspects of our business operation, such as trading, margin financing and securities lending. In addition, we have limited experience in serving our current user and client base. As our business develops and as we respond to competition, we may continue to introduce new service offerings, make adjustments to our existing services, or make adjustments to our business operation in general. Any significant change to our business model that does not achieve expected results may have a material and adverse impact on our financial condition and results of operations. It is therefore difficult to effectively assess our future prospects.</w:t>
      </w:r>
    </w:p>
    <w:p>
      <w:pPr>
        <w:spacing w:after="0" w:line="190" w:lineRule="exact"/>
        <w:rPr>
          <w:sz w:val="20"/>
          <w:szCs w:val="20"/>
          <w:color w:val="auto"/>
        </w:rPr>
      </w:pPr>
    </w:p>
    <w:p>
      <w:pPr>
        <w:ind w:left="240" w:right="60" w:firstLine="438"/>
        <w:spacing w:after="0" w:line="309" w:lineRule="auto"/>
        <w:rPr>
          <w:sz w:val="20"/>
          <w:szCs w:val="20"/>
          <w:color w:val="auto"/>
        </w:rPr>
      </w:pPr>
      <w:r>
        <w:rPr>
          <w:rFonts w:ascii="Arial" w:cs="Arial" w:eastAsia="Arial" w:hAnsi="Arial"/>
          <w:sz w:val="16"/>
          <w:szCs w:val="16"/>
          <w:color w:val="auto"/>
        </w:rPr>
        <w:t>The online brokerage industry may not develop as expected. Prospective users and clients of our services may not be familiar with the development of online brokerage markets and may have difficulty distinguishing our services from those of our competitors. Convincing prospective users and clients of the value of using our services is critical to increasing the amount of transactions on our platform and to the success of our business.</w:t>
      </w:r>
    </w:p>
    <w:p>
      <w:pPr>
        <w:spacing w:after="0" w:line="149" w:lineRule="exact"/>
        <w:rPr>
          <w:sz w:val="20"/>
          <w:szCs w:val="20"/>
          <w:color w:val="auto"/>
        </w:rPr>
      </w:pPr>
    </w:p>
    <w:p>
      <w:pPr>
        <w:ind w:left="240" w:right="360" w:firstLine="438"/>
        <w:spacing w:after="0" w:line="305" w:lineRule="auto"/>
        <w:rPr>
          <w:sz w:val="20"/>
          <w:szCs w:val="20"/>
          <w:color w:val="auto"/>
        </w:rPr>
      </w:pPr>
      <w:r>
        <w:rPr>
          <w:rFonts w:ascii="Arial" w:cs="Arial" w:eastAsia="Arial" w:hAnsi="Arial"/>
          <w:sz w:val="17"/>
          <w:szCs w:val="17"/>
          <w:color w:val="auto"/>
        </w:rPr>
        <w:t>You should consider our business and prospects in light of the risks and challenges we encounter or may encounter given the rapidly evolving market in which we operate and our limited operating history. These risks and challenges include our ability to, among other things:</w:t>
      </w:r>
    </w:p>
    <w:p>
      <w:pPr>
        <w:spacing w:after="0" w:line="54" w:lineRule="exact"/>
        <w:rPr>
          <w:sz w:val="20"/>
          <w:szCs w:val="20"/>
          <w:color w:val="auto"/>
        </w:rPr>
      </w:pPr>
    </w:p>
    <w:p>
      <w:pPr>
        <w:ind w:left="1100" w:hanging="327"/>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our future growth;</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navigate a complex and evolving regulatory environment;</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 personalized and competitive online brokerage and other financial services;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 utilization of our services by existing and new users;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 attractive commission fees while driving the growth and profitability of our business;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 and enhance our relationships with our business partners, including funding partners for our margin financing business;</w:t>
      </w:r>
    </w:p>
    <w:p>
      <w:pPr>
        <w:spacing w:after="0" w:line="140" w:lineRule="exact"/>
        <w:rPr>
          <w:rFonts w:ascii="Arial" w:cs="Arial" w:eastAsia="Arial" w:hAnsi="Arial"/>
          <w:sz w:val="17"/>
          <w:szCs w:val="17"/>
          <w:color w:val="auto"/>
        </w:rPr>
      </w:pPr>
    </w:p>
    <w:p>
      <w:pPr>
        <w:ind w:left="1100" w:right="140" w:hanging="327"/>
        <w:spacing w:after="0" w:line="275"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our technology infrastructure to support the growth of our business and maintain the security of our system and the confidentiality of the information provided and utilized across our system;</w:t>
      </w:r>
    </w:p>
    <w:p>
      <w:pPr>
        <w:spacing w:after="0" w:line="76" w:lineRule="exact"/>
        <w:rPr>
          <w:rFonts w:ascii="Arial" w:cs="Arial" w:eastAsia="Arial" w:hAnsi="Arial"/>
          <w:sz w:val="18"/>
          <w:szCs w:val="18"/>
          <w:color w:val="auto"/>
        </w:rPr>
      </w:pPr>
    </w:p>
    <w:p>
      <w:pPr>
        <w:ind w:left="1100" w:hanging="327"/>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 our operational efficiency;</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retain and motivate talented employees to support our business growth;</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navigate economic condition and fluctuation; and</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defend ourselves against legal and regulatory actions, such as actions involving intellectual property or privacy claims.</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historical growth rates may not be indicative of our future growth.</w:t>
      </w:r>
    </w:p>
    <w:p>
      <w:pPr>
        <w:spacing w:after="0" w:line="115" w:lineRule="exact"/>
        <w:rPr>
          <w:sz w:val="20"/>
          <w:szCs w:val="20"/>
          <w:color w:val="auto"/>
        </w:rPr>
      </w:pPr>
    </w:p>
    <w:p>
      <w:pPr>
        <w:ind w:left="240" w:right="60" w:firstLine="438"/>
        <w:spacing w:after="0" w:line="253" w:lineRule="auto"/>
        <w:rPr>
          <w:sz w:val="20"/>
          <w:szCs w:val="20"/>
          <w:color w:val="auto"/>
        </w:rPr>
      </w:pPr>
      <w:r>
        <w:rPr>
          <w:rFonts w:ascii="Arial" w:cs="Arial" w:eastAsia="Arial" w:hAnsi="Arial"/>
          <w:sz w:val="18"/>
          <w:szCs w:val="18"/>
          <w:color w:val="auto"/>
        </w:rPr>
        <w:t>We have experienced rapid growth in our business and operations since our inception. The trading volume on our platform grew 164.4% from HK$195.9 billion in 2016 to HK$517.9 billion (US$66.3 billion) in 2017, and our total revenues increased by 258.3% from HK$87.0 million in 2016 to HK$311.7 million (US$39.9 million) in 2017. However, our historical growth rates may not be indicative of our future growth, and we may not be able to generate similar growth rates in future periods. We cannot assure you that we will grow at the same rate as we have in the past. If our growth rate declines, investors’ perceptions of our business and business prospects may be adversely affected and the market price of our ADSs could decline. You should consider our prospects in light of the risks and uncertainties that fast-growing companies with limited operating histories in a quickly-evolving industry may encounter.</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7"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 w:firstLine="438"/>
        <w:spacing w:after="0" w:line="295" w:lineRule="auto"/>
        <w:rPr>
          <w:sz w:val="20"/>
          <w:szCs w:val="20"/>
          <w:color w:val="auto"/>
        </w:rPr>
      </w:pPr>
      <w:r>
        <w:rPr>
          <w:rFonts w:ascii="Arial" w:cs="Arial" w:eastAsia="Arial" w:hAnsi="Arial"/>
          <w:sz w:val="16"/>
          <w:szCs w:val="16"/>
          <w:color w:val="auto"/>
        </w:rPr>
        <w:t>We may not be able to manage our expansion effectively. Continuous expansion may increase the complexity of our business and place a strain on our management, operations, technical systems, financial resources and internal control functions. Our current and planned personnel, systems, resources and controls may not be adequate to support and effectively manage our future operations. We upgrade our systems from time to time to cater to the need of launching new services and executing increasing trading volume, and the process of upgrading our current systems may disrupt our ability to timely and accurately process information, which could adversely affect our results of operations and cause harm to our business.</w:t>
      </w:r>
    </w:p>
    <w:p>
      <w:pPr>
        <w:spacing w:after="0" w:line="158" w:lineRule="exact"/>
        <w:rPr>
          <w:sz w:val="20"/>
          <w:szCs w:val="20"/>
          <w:color w:val="auto"/>
        </w:rPr>
      </w:pPr>
    </w:p>
    <w:p>
      <w:pPr>
        <w:ind w:left="240" w:right="480" w:firstLine="438"/>
        <w:spacing w:after="0" w:line="300" w:lineRule="auto"/>
        <w:rPr>
          <w:sz w:val="20"/>
          <w:szCs w:val="20"/>
          <w:color w:val="auto"/>
        </w:rPr>
      </w:pPr>
      <w:r>
        <w:rPr>
          <w:rFonts w:ascii="Arial" w:cs="Arial" w:eastAsia="Arial" w:hAnsi="Arial"/>
          <w:sz w:val="16"/>
          <w:szCs w:val="16"/>
          <w:color w:val="auto"/>
        </w:rPr>
        <w:t>Our entrepreneurial and collaborative culture is important to us, and we believe it has been a major contributor to our success. We may have difficulties maintaining our culture to meet the needs of our future and evolving operations as we continue to grow, in particular as we grow internationally. In addition, our ability to maintain our culture as a public company, with changes in policies, practices, corporate governance and management requirements, may be challenging. Failure to maintain our culture could have a material adverse effect on our business.</w:t>
      </w:r>
    </w:p>
    <w:p>
      <w:pPr>
        <w:spacing w:after="0" w:line="262"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b w:val="1"/>
          <w:bCs w:val="1"/>
          <w:i w:val="1"/>
          <w:iCs w:val="1"/>
          <w:color w:val="auto"/>
        </w:rPr>
        <w:t>We are subject to extensive and evolving regulatory requirements in Hong Kong,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 In addition, we are involved in ongoing inquiries and investigations by the HK SFC.</w:t>
      </w:r>
    </w:p>
    <w:p>
      <w:pPr>
        <w:spacing w:after="0" w:line="80" w:lineRule="exact"/>
        <w:rPr>
          <w:sz w:val="20"/>
          <w:szCs w:val="20"/>
          <w:color w:val="auto"/>
        </w:rPr>
      </w:pPr>
    </w:p>
    <w:p>
      <w:pPr>
        <w:ind w:left="240" w:right="20" w:firstLine="438"/>
        <w:spacing w:after="0" w:line="268" w:lineRule="auto"/>
        <w:rPr>
          <w:sz w:val="20"/>
          <w:szCs w:val="20"/>
          <w:color w:val="auto"/>
        </w:rPr>
      </w:pPr>
      <w:r>
        <w:rPr>
          <w:rFonts w:ascii="Arial" w:cs="Arial" w:eastAsia="Arial" w:hAnsi="Arial"/>
          <w:sz w:val="17"/>
          <w:szCs w:val="17"/>
          <w:color w:val="auto"/>
        </w:rPr>
        <w:t>The markets in Hong Kong in which we operate are highly regulated. However, the online-based brokerage service industry is at a relatively early stage of development, and applicable laws, regulations and other requirements may be changed and adopted from time to time. Our business operations are subject to applicable Hong Kong laws, regulations, guidelines, circulars, and other regulatory guidance, or collectively the “HK Brokerage Service Rules,” including, for example, the SFO and its subsidiary legislation. These HK Brokerage Service Rules set out the licensing requirements, regulate our operational activities and standards, and impose requirements such as maintaining minimum liquidity or capital along with other filing and reporting obligations relevant to our business operations. See “Regulation—Overview of the Laws and Regulations Relating to Our Business and Operations in Hong Kong.” Failure to comply with applicable HK Brokerage Service Rules can result in investigations and regulatory actions, which may lead to penalties, including reprimands, fines, limitations or prohibitions on our future business activities or suspension or revocation of our licenses or trading rights. Any outcome may affect our ability to conduct business, harm our reputation and, consequently, materially and adversely affect our business, financial condition, results of operations and prospects.</w:t>
      </w:r>
    </w:p>
    <w:p>
      <w:pPr>
        <w:spacing w:after="0" w:line="180" w:lineRule="exact"/>
        <w:rPr>
          <w:sz w:val="20"/>
          <w:szCs w:val="20"/>
          <w:color w:val="auto"/>
        </w:rPr>
      </w:pPr>
    </w:p>
    <w:p>
      <w:pPr>
        <w:ind w:left="240" w:right="40" w:firstLine="438"/>
        <w:spacing w:after="0" w:line="287" w:lineRule="auto"/>
        <w:rPr>
          <w:sz w:val="20"/>
          <w:szCs w:val="20"/>
          <w:color w:val="auto"/>
        </w:rPr>
      </w:pPr>
      <w:r>
        <w:rPr>
          <w:rFonts w:ascii="Arial" w:cs="Arial" w:eastAsia="Arial" w:hAnsi="Arial"/>
          <w:sz w:val="16"/>
          <w:szCs w:val="16"/>
          <w:color w:val="auto"/>
        </w:rPr>
        <w:t>From time to time, Futu International Hong Kong as a HK SFC-licensed corporation may be subject to or required to assist in inquiries or investigations by relevant regulatory authorities in Hong Kong, principally the HK SFC. The HK SFC conducts on-site reviews and off-site monitoring to ascertain and supervise our business conduct and compliance with relevant regulatory requirements and to assess and monitor, among other things, our financial soundness. We may be subject to such regulatory inquiries and investigations from time to time. If any misconduct is identified as a result of inquiries, reviews or investigations, the HK SFC may take disciplinary actions which would lead to revocation or suspension of licenses, public or private reprimand or imposition of pecuniary penalties against us, our responsible officers, licensed representatives, directors or other officers. Any such disciplinary actions taken against us, our responsible officers, licensed representatives, directors or other officers may have a material and adverse impact on our business operations and financial results. In addition, we are subject to statutory secrecy obligations under the SFO whereby we may not be permitted to disclose details on any HK SFC inquiries, reviews or investigations without the consent of the HK SFC.</w:t>
      </w:r>
    </w:p>
    <w:p>
      <w:pPr>
        <w:spacing w:after="0" w:line="168" w:lineRule="exact"/>
        <w:rPr>
          <w:sz w:val="20"/>
          <w:szCs w:val="20"/>
          <w:color w:val="auto"/>
        </w:rPr>
      </w:pPr>
    </w:p>
    <w:p>
      <w:pPr>
        <w:ind w:left="240" w:firstLine="438"/>
        <w:spacing w:after="0" w:line="277" w:lineRule="auto"/>
        <w:rPr>
          <w:sz w:val="20"/>
          <w:szCs w:val="20"/>
          <w:color w:val="auto"/>
        </w:rPr>
      </w:pPr>
      <w:r>
        <w:rPr>
          <w:rFonts w:ascii="Arial" w:cs="Arial" w:eastAsia="Arial" w:hAnsi="Arial"/>
          <w:sz w:val="17"/>
          <w:szCs w:val="17"/>
          <w:color w:val="auto"/>
        </w:rPr>
        <w:t>As of the date of this prospectus, Futu International Hong Kong is subject to ongoing investigations by the HK SFC relating to anti-money laundering laws, practices relating to protection of client assets, and handling and monitoring client orders and trading activities. In addition, Futu International Hong Kong is involved in ongoing regulatory inquiries by the HK SFC relating to client onboarding processes. We are unable to accurately predict the outcome of the inquiries and investigations because of their ongoing nature. See “Business—Ongoing</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7"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80"/>
        <w:spacing w:after="0" w:line="253" w:lineRule="auto"/>
        <w:rPr>
          <w:sz w:val="20"/>
          <w:szCs w:val="20"/>
          <w:color w:val="auto"/>
        </w:rPr>
      </w:pPr>
      <w:r>
        <w:rPr>
          <w:rFonts w:ascii="Arial" w:cs="Arial" w:eastAsia="Arial" w:hAnsi="Arial"/>
          <w:sz w:val="18"/>
          <w:szCs w:val="18"/>
          <w:color w:val="auto"/>
        </w:rPr>
        <w:t>Regulatory Actions.” There remains a risk that on conclusion of the inquiries and investigations, the HK SFC may identify misconduct or material non-compliance and decide to take regulatory actions, which may include, among other things, reprimands, fines, limitations or prohibitions on our future business activities or suspension or revocation of Futu International Hong Kong’s licenses and trading rights. There also remains a risk that we may not be able to rectify our practices to be in compliance with relevant HK Brokerage Service Rules following the identification of any such misconduct or material non-compliance, which may result in the HK SFC taking additional regulatory actions against us in the forms described above. If any such outcome were to arise, there may be a material and adverse effect on our business, results of operations, financial conditions and prospects. Our reputation may also be harmed.</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current client online account opening procedures do not strictly follow the specified steps set out by the relevant authorities in Hong Kong.</w:t>
      </w:r>
    </w:p>
    <w:p>
      <w:pPr>
        <w:spacing w:after="0" w:line="138" w:lineRule="exact"/>
        <w:rPr>
          <w:sz w:val="20"/>
          <w:szCs w:val="20"/>
          <w:color w:val="auto"/>
        </w:rPr>
      </w:pPr>
    </w:p>
    <w:p>
      <w:pPr>
        <w:ind w:left="240" w:right="60" w:firstLine="438"/>
        <w:spacing w:after="0" w:line="284" w:lineRule="auto"/>
        <w:rPr>
          <w:sz w:val="20"/>
          <w:szCs w:val="20"/>
          <w:color w:val="auto"/>
        </w:rPr>
      </w:pPr>
      <w:r>
        <w:rPr>
          <w:rFonts w:ascii="Arial" w:cs="Arial" w:eastAsia="Arial" w:hAnsi="Arial"/>
          <w:sz w:val="16"/>
          <w:szCs w:val="16"/>
          <w:color w:val="auto"/>
        </w:rPr>
        <w:t>As online-based brokerage services in Hong Kong and China and, in particular, the technologies and practices involved in online account opening services are at relatively early stages of development, applicable laws, regulations, guidelines, circulars and other regulatory guidance with regard to online account opening procedures remain evolving and are subject to further changes. Currently, residents in China can open Hong Kong or U.S. trading accounts with us by following the online application procedures summarized in the prospectus. See “Business Section—Our Services—Trading, Clearing and Settlement—Account Opening.” Our system supports the online verification procedures, among others, based on a prospective client’s PRC identification information and debit card issued by a bank based in China. The HK SFC’s current position on the expressly specified non-face-to-face approaches for account opening, including online account opening, in light of HK SFC regulatory requirements is summarized in paragraph 5.1 of the SFC Code of Conduct and SFC circulars dated May 12, 2015, October 24, 2016 and July 12, 2018 (together, the “SFC Circulars”). Our online application procedures as discussed above do not strictly follow the specified steps set out in the HK SFC Circulars. For example, our current practice does not require e-certification as part of the client onboarding process. If our online account opening procedures are deemed to be not in compliance with the applicable laws, regulations, guidelines, circulars and other regulatory guidance, we may be subject to regulatory actions, which may include, among other things, reprimands, fines, limitations or prohibitions on our future business activities and/or suspension or revocation of Futu International Hong Kong’s licenses and trading rights. Moreover, if we were required to make adjustments to our online client onboarding process, the changes may have a material adverse impact on our user experience and client acquisition.</w:t>
      </w:r>
    </w:p>
    <w:p>
      <w:pPr>
        <w:spacing w:after="0" w:line="282" w:lineRule="exact"/>
        <w:rPr>
          <w:sz w:val="20"/>
          <w:szCs w:val="20"/>
          <w:color w:val="auto"/>
        </w:rPr>
      </w:pPr>
    </w:p>
    <w:p>
      <w:pPr>
        <w:ind w:left="240" w:right="500"/>
        <w:spacing w:after="0" w:line="373" w:lineRule="auto"/>
        <w:rPr>
          <w:sz w:val="20"/>
          <w:szCs w:val="20"/>
          <w:color w:val="auto"/>
        </w:rPr>
      </w:pPr>
      <w:r>
        <w:rPr>
          <w:rFonts w:ascii="Arial" w:cs="Arial" w:eastAsia="Arial" w:hAnsi="Arial"/>
          <w:sz w:val="15"/>
          <w:szCs w:val="15"/>
          <w:b w:val="1"/>
          <w:bCs w:val="1"/>
          <w:i w:val="1"/>
          <w:iCs w:val="1"/>
          <w:color w:val="auto"/>
        </w:rPr>
        <w:t>We do not hold any license or permit for providing securities brokerage business in China. Although we do not believe we engage in securities brokerage business in China, there remain uncertainties to the interpretation and implementation of relevant PRC laws and regulations.</w:t>
      </w:r>
    </w:p>
    <w:p>
      <w:pPr>
        <w:spacing w:after="0" w:line="1" w:lineRule="exact"/>
        <w:rPr>
          <w:sz w:val="20"/>
          <w:szCs w:val="20"/>
          <w:color w:val="auto"/>
        </w:rPr>
      </w:pPr>
    </w:p>
    <w:p>
      <w:pPr>
        <w:ind w:left="240" w:firstLine="438"/>
        <w:spacing w:after="0" w:line="285" w:lineRule="auto"/>
        <w:rPr>
          <w:sz w:val="20"/>
          <w:szCs w:val="20"/>
          <w:color w:val="auto"/>
        </w:rPr>
      </w:pPr>
      <w:r>
        <w:rPr>
          <w:rFonts w:ascii="Arial" w:cs="Arial" w:eastAsia="Arial" w:hAnsi="Arial"/>
          <w:sz w:val="16"/>
          <w:szCs w:val="16"/>
          <w:color w:val="auto"/>
        </w:rPr>
        <w:t>Pursuant to the relevant PRC laws and regulations, no entity or individual shall engage in securities business without the approval of the securities regulatory authority of the State Council. See “Regulations—Overview of the Laws and Regulations Relating to Our Business and Operations in China —Regulations on Securities Business.” We do not hold any license or permit in relation to providing securities brokerage business in China, and we do not believe the business we are conducting now through our subsidiaries or consolidated affiliated entities in China is a securities brokerage business in China. In the past, we received inquires relating to our business from certain regulatory authorities in China. We have since then taken measures to modify and enhance our business and platform to be in compliance with the applicable PRC laws and regulations related to securities brokerage business in China. Based on the opinion of our PRC counsel, CM Law Firm, we are in compliance with the applicable PRC laws and regulations related to securities brokerage business in China after such modifications in all material aspects. However, there remain some uncertainties as to how the current and any future PRC laws and regulations will be interpreted or implemented in the context of operating securities related business in China. We cannot assure you that our current operation model, such as redirecting users and clients to open accounts and make transactions outside China, will not be deemed as operating securities brokerage business in China. If we are deemed to be operating a securities brokerage business in China, we will be required to obtain relevant licenses or permits from relevant regulatory bodies, including the CSRC, and failure of</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7"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140"/>
        <w:spacing w:after="0" w:line="262" w:lineRule="auto"/>
        <w:rPr>
          <w:sz w:val="20"/>
          <w:szCs w:val="20"/>
          <w:color w:val="auto"/>
        </w:rPr>
      </w:pPr>
      <w:r>
        <w:rPr>
          <w:rFonts w:ascii="Arial" w:cs="Arial" w:eastAsia="Arial" w:hAnsi="Arial"/>
          <w:sz w:val="18"/>
          <w:szCs w:val="18"/>
          <w:color w:val="auto"/>
        </w:rPr>
        <w:t>obtaining such licenses or permits may subject us to regulatory actions and penalties, including fines, suspension of parts or all of our operations in the PRC, and temporary suspension or removal of our websites and mobile application in China. In such cases, our business, financial condition, results of operations and prospects may be materially and adversely affected.</w:t>
      </w:r>
    </w:p>
    <w:p>
      <w:pPr>
        <w:spacing w:after="0" w:line="289" w:lineRule="exact"/>
        <w:rPr>
          <w:sz w:val="20"/>
          <w:szCs w:val="20"/>
          <w:color w:val="auto"/>
        </w:rPr>
      </w:pPr>
    </w:p>
    <w:p>
      <w:pPr>
        <w:ind w:left="240" w:right="100"/>
        <w:spacing w:after="0" w:line="257" w:lineRule="auto"/>
        <w:rPr>
          <w:sz w:val="20"/>
          <w:szCs w:val="20"/>
          <w:color w:val="auto"/>
        </w:rPr>
      </w:pPr>
      <w:r>
        <w:rPr>
          <w:rFonts w:ascii="Arial" w:cs="Arial" w:eastAsia="Arial" w:hAnsi="Arial"/>
          <w:sz w:val="18"/>
          <w:szCs w:val="18"/>
          <w:b w:val="1"/>
          <w:bCs w:val="1"/>
          <w:i w:val="1"/>
          <w:iCs w:val="1"/>
          <w:color w:val="auto"/>
        </w:rPr>
        <w:t>PRC governmental control of currency conversion, cross-border remittance and offshore investment could have a direct impact on the trading volume achieved on our platform. If the government further tightens restrictions on converting Renminbi to foreign currencies, including Hong Kong dollars and U.S. dollars, and/or deems our practice as in violation of PRC laws and regulations, our business will be materially and adversely affected.</w:t>
      </w:r>
    </w:p>
    <w:p>
      <w:pPr>
        <w:spacing w:after="0" w:line="80" w:lineRule="exact"/>
        <w:rPr>
          <w:sz w:val="20"/>
          <w:szCs w:val="20"/>
          <w:color w:val="auto"/>
        </w:rPr>
      </w:pPr>
    </w:p>
    <w:p>
      <w:pPr>
        <w:ind w:left="240" w:firstLine="438"/>
        <w:spacing w:after="0" w:line="285" w:lineRule="auto"/>
        <w:rPr>
          <w:sz w:val="20"/>
          <w:szCs w:val="20"/>
          <w:color w:val="auto"/>
        </w:rPr>
      </w:pPr>
      <w:r>
        <w:rPr>
          <w:rFonts w:ascii="Arial" w:cs="Arial" w:eastAsia="Arial" w:hAnsi="Arial"/>
          <w:sz w:val="16"/>
          <w:szCs w:val="16"/>
          <w:color w:val="auto"/>
        </w:rPr>
        <w:t>Since we launched our online brokerage business, the majority of our clients are Chinese nationals. We do not convert Renminbi into Hong Kong dollars or U.S. dollars for our clients, and require those who would like to trade securities listed on the Hong Kong Stock Exchange or any major stock exchanges in the United States through our platform to deposit funding into their respective trading accounts in Hong Kong in either Hong Kong dollars or U.S. dollars. The PRC government imposes controls on the convertibility of Renminbi into foreign currencies and, in certain cases, currency remittance out of the PRC. Since 2016, the PRC government has tightened its foreign exchange policies and stepped up its scrutiny of outbound capital movement. Under the current regulatory framework, Chinese nationals are limited to a foreign exchange quota of US$50,000 per year for approved uses only, such as tourism and education purposes and Chinese nationals can only engage in offshore investments under capital items through provided method such as Qualified Domestic Institutional Investors. See “Regulations—Overview of the Laws and Regulations Relating to Our Business and Operations in China—Regulations on Offshore Stocks Investments.” If the government further tightens the amount of currency exchange allowed for Chinese nationals, increases the control over remittance of currency out of the PRC, and/or specifically prohibits any exchanges for securities-related investment, the trading activities of Chinese nationals on our platform could be restricted, which would significantly reduce the trading volume on our platform. As our revenues from brokerage commission income depends heavily on the total trading volume facilitated on our platform, the occurrence of any of the above regulatory changes would have a material and adverse impact on our business, operating and financial results.</w:t>
      </w:r>
    </w:p>
    <w:p>
      <w:pPr>
        <w:spacing w:after="0" w:line="167" w:lineRule="exact"/>
        <w:rPr>
          <w:sz w:val="20"/>
          <w:szCs w:val="20"/>
          <w:color w:val="auto"/>
        </w:rPr>
      </w:pPr>
    </w:p>
    <w:p>
      <w:pPr>
        <w:ind w:left="240" w:right="40" w:firstLine="438"/>
        <w:spacing w:after="0" w:line="288" w:lineRule="auto"/>
        <w:rPr>
          <w:sz w:val="20"/>
          <w:szCs w:val="20"/>
          <w:color w:val="auto"/>
        </w:rPr>
      </w:pPr>
      <w:r>
        <w:rPr>
          <w:rFonts w:ascii="Arial" w:cs="Arial" w:eastAsia="Arial" w:hAnsi="Arial"/>
          <w:sz w:val="16"/>
          <w:szCs w:val="16"/>
          <w:color w:val="auto"/>
        </w:rPr>
        <w:t>In addition, under the existing regulations on offshore investment, approval from or registration with appropriate government authorities is required when Renminbi is to be converted into foreign currency for the purpose of offshore investment. As we do not provide currency conversion services related to Renminbi to our Chinese national clients, we do not require our clients to submit evidence of approval or registration from relevant authorities with respect to the foreign currency used for offshore investments. However, there remain uncertainties regarding the interpretation and application of the current laws and regulations with respect to offshore investment and if we are required by any laws or regulation to verify evidence of approval from relevant authorities, we may be deemed as in violation of such PRC laws and regulations. In such cases, we may face regulatory warnings, correction orders, condemnation and fines, and may not be able to conduct our current business in the future. If such situations occur, our business, financial condition, results of operations and prospects would be materially and adversely affected.</w:t>
      </w:r>
    </w:p>
    <w:p>
      <w:pPr>
        <w:spacing w:after="0" w:line="275" w:lineRule="exact"/>
        <w:rPr>
          <w:sz w:val="20"/>
          <w:szCs w:val="20"/>
          <w:color w:val="auto"/>
        </w:rPr>
      </w:pPr>
    </w:p>
    <w:p>
      <w:pPr>
        <w:ind w:left="240" w:right="80"/>
        <w:spacing w:after="0" w:line="275" w:lineRule="auto"/>
        <w:rPr>
          <w:sz w:val="20"/>
          <w:szCs w:val="20"/>
          <w:color w:val="auto"/>
        </w:rPr>
      </w:pPr>
      <w:r>
        <w:rPr>
          <w:rFonts w:ascii="Arial" w:cs="Arial" w:eastAsia="Arial" w:hAnsi="Arial"/>
          <w:sz w:val="18"/>
          <w:szCs w:val="18"/>
          <w:b w:val="1"/>
          <w:bCs w:val="1"/>
          <w:i w:val="1"/>
          <w:iCs w:val="1"/>
          <w:color w:val="auto"/>
        </w:rPr>
        <w:t>We face significant competition in the online brokerage industry, and if we are unable to compete effectively, we may lose our market share and our results of operations and financial condition may be materially and adversely affected.</w:t>
      </w:r>
    </w:p>
    <w:p>
      <w:pPr>
        <w:spacing w:after="0" w:line="63" w:lineRule="exact"/>
        <w:rPr>
          <w:sz w:val="20"/>
          <w:szCs w:val="20"/>
          <w:color w:val="auto"/>
        </w:rPr>
      </w:pPr>
    </w:p>
    <w:p>
      <w:pPr>
        <w:ind w:left="240" w:right="300" w:firstLine="438"/>
        <w:spacing w:after="0" w:line="277" w:lineRule="auto"/>
        <w:rPr>
          <w:sz w:val="20"/>
          <w:szCs w:val="20"/>
          <w:color w:val="auto"/>
        </w:rPr>
      </w:pPr>
      <w:r>
        <w:rPr>
          <w:rFonts w:ascii="Arial" w:cs="Arial" w:eastAsia="Arial" w:hAnsi="Arial"/>
          <w:sz w:val="17"/>
          <w:szCs w:val="17"/>
          <w:color w:val="auto"/>
        </w:rPr>
        <w:t>The market for online brokerage services is relatively new, rapidly evolving and intensely competitive. We expect competition to continue and intensify in the future. We face competition from traditional retail brokerage firms and financial service providers in Hong Kong who, in an effort to satisfy the demands of their clients for hands-on electronic trading facilities, universal access to markets, smart routing, better trading tools, lower commissions and financing rates, have embarked upon building such facilities and service enhancements.</w:t>
      </w:r>
    </w:p>
    <w:p>
      <w:pPr>
        <w:spacing w:after="0" w:line="172" w:lineRule="exact"/>
        <w:rPr>
          <w:sz w:val="20"/>
          <w:szCs w:val="20"/>
          <w:color w:val="auto"/>
        </w:rPr>
      </w:pPr>
    </w:p>
    <w:p>
      <w:pPr>
        <w:ind w:left="240" w:right="500" w:firstLine="438"/>
        <w:spacing w:after="0" w:line="275" w:lineRule="auto"/>
        <w:rPr>
          <w:sz w:val="20"/>
          <w:szCs w:val="20"/>
          <w:color w:val="auto"/>
        </w:rPr>
      </w:pPr>
      <w:r>
        <w:rPr>
          <w:rFonts w:ascii="Arial" w:cs="Arial" w:eastAsia="Arial" w:hAnsi="Arial"/>
          <w:sz w:val="18"/>
          <w:szCs w:val="18"/>
          <w:color w:val="auto"/>
        </w:rPr>
        <w:t>In addition, the online brokerage industry exhibits massive opportunities which may attract major internet companies to enter the market by adopting a similar business model, which may significantly affect our market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7"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0"/>
        <w:spacing w:after="0" w:line="257" w:lineRule="auto"/>
        <w:rPr>
          <w:sz w:val="20"/>
          <w:szCs w:val="20"/>
          <w:color w:val="auto"/>
        </w:rPr>
      </w:pPr>
      <w:r>
        <w:rPr>
          <w:rFonts w:ascii="Arial" w:cs="Arial" w:eastAsia="Arial" w:hAnsi="Arial"/>
          <w:sz w:val="18"/>
          <w:szCs w:val="18"/>
          <w:color w:val="auto"/>
        </w:rPr>
        <w:t>share and sales volume. The release of version 1.1 of the certificate policy for mutual recognition of electronic signature certificates on September 30, 2018 may further intensify such competition. Major international brokerage companies that have large retail online brokerage businesses as well as online brokerage units of commercial banks may take advantage of their established resources and satisfy applicable regulatory requirements through acquisitions and organic development.</w:t>
      </w:r>
    </w:p>
    <w:p>
      <w:pPr>
        <w:spacing w:after="0" w:line="188" w:lineRule="exact"/>
        <w:rPr>
          <w:sz w:val="20"/>
          <w:szCs w:val="20"/>
          <w:color w:val="auto"/>
        </w:rPr>
      </w:pPr>
    </w:p>
    <w:p>
      <w:pPr>
        <w:ind w:left="240" w:firstLine="438"/>
        <w:spacing w:after="0" w:line="252" w:lineRule="auto"/>
        <w:rPr>
          <w:sz w:val="20"/>
          <w:szCs w:val="20"/>
          <w:color w:val="auto"/>
        </w:rPr>
      </w:pPr>
      <w:r>
        <w:rPr>
          <w:rFonts w:ascii="Arial" w:cs="Arial" w:eastAsia="Arial" w:hAnsi="Arial"/>
          <w:sz w:val="18"/>
          <w:szCs w:val="18"/>
          <w:color w:val="auto"/>
        </w:rPr>
        <w:t>We expect competition to increase in the future as current competitors diversify and improve their offerings and as new participants enter the market. We cannot assure you that we will be able to compete effectively or efficiently with current or future competitors. They may be acquired by, receive investment from or enter into strategic relationships with, established and well-financed companies or investors, which would help enhance their competitiveness. Furthermore, the current competitors and new entrants in the online brokerage industry may also seek to develop new service offerings, technologies or capabilities that could render some of the services that we offer obsolete or less competitive, and some of them may adopt more aggressive pricing policies or devote greater resources to marketing and promotional campaigns than we do. The occurrence of any of these circumstances may hinder our growth and reduce our market share, and thus our business, results of operations, financial condition and prospects would be materially and adversely affected.</w:t>
      </w:r>
    </w:p>
    <w:p>
      <w:pPr>
        <w:spacing w:after="0" w:line="302" w:lineRule="exact"/>
        <w:rPr>
          <w:sz w:val="20"/>
          <w:szCs w:val="20"/>
          <w:color w:val="auto"/>
        </w:rPr>
      </w:pPr>
    </w:p>
    <w:p>
      <w:pPr>
        <w:ind w:left="240" w:right="80"/>
        <w:spacing w:after="0" w:line="305" w:lineRule="auto"/>
        <w:rPr>
          <w:sz w:val="20"/>
          <w:szCs w:val="20"/>
          <w:color w:val="auto"/>
        </w:rPr>
      </w:pPr>
      <w:r>
        <w:rPr>
          <w:rFonts w:ascii="Arial" w:cs="Arial" w:eastAsia="Arial" w:hAnsi="Arial"/>
          <w:sz w:val="17"/>
          <w:szCs w:val="17"/>
          <w:b w:val="1"/>
          <w:bCs w:val="1"/>
          <w:i w:val="1"/>
          <w:iCs w:val="1"/>
          <w:color w:val="auto"/>
        </w:rPr>
        <w:t>If we are unable to retain existing clients or attract new clients to increase their trading volume, or if we fail to offer services to address the needs of our clients as they evolve, our business and results of operations may be materially and adversely affected.</w:t>
      </w:r>
    </w:p>
    <w:p>
      <w:pPr>
        <w:spacing w:after="0" w:line="40" w:lineRule="exact"/>
        <w:rPr>
          <w:sz w:val="20"/>
          <w:szCs w:val="20"/>
          <w:color w:val="auto"/>
        </w:rPr>
      </w:pPr>
    </w:p>
    <w:p>
      <w:pPr>
        <w:ind w:left="240" w:right="20" w:firstLine="438"/>
        <w:spacing w:after="0" w:line="254" w:lineRule="auto"/>
        <w:rPr>
          <w:sz w:val="20"/>
          <w:szCs w:val="20"/>
          <w:color w:val="auto"/>
        </w:rPr>
      </w:pPr>
      <w:r>
        <w:rPr>
          <w:rFonts w:ascii="Arial" w:cs="Arial" w:eastAsia="Arial" w:hAnsi="Arial"/>
          <w:sz w:val="18"/>
          <w:szCs w:val="18"/>
          <w:color w:val="auto"/>
        </w:rPr>
        <w:t>We derive a significant portion of our revenues from our online brokerage services provided to our clients. The trading volume on our platform has grown rapidly over the past few years. In 2017, we facilitated trading transactions at the amount of HK$517.9 billion (US$66.3 billion) in aggregate, representing a 164.4% increase in trading volume from 2016. Also, our paying clients increased by 125.8% from 2016 to 2017. To maintain the high growth momentum of our platform, we depend on retaining current clients and attracting more new clients. If there is insufficient demand for our online brokerage and margin financing services, we might not be able to maintain and increase our trading volume and revenues as we expect, and our business and results of operations may be adversely affected.</w:t>
      </w:r>
    </w:p>
    <w:p>
      <w:pPr>
        <w:spacing w:after="0" w:line="190" w:lineRule="exact"/>
        <w:rPr>
          <w:sz w:val="20"/>
          <w:szCs w:val="20"/>
          <w:color w:val="auto"/>
        </w:rPr>
      </w:pPr>
    </w:p>
    <w:p>
      <w:pPr>
        <w:ind w:left="240" w:right="80" w:firstLine="438"/>
        <w:spacing w:after="0" w:line="290" w:lineRule="auto"/>
        <w:rPr>
          <w:sz w:val="20"/>
          <w:szCs w:val="20"/>
          <w:color w:val="auto"/>
        </w:rPr>
      </w:pPr>
      <w:r>
        <w:rPr>
          <w:rFonts w:ascii="Arial" w:cs="Arial" w:eastAsia="Arial" w:hAnsi="Arial"/>
          <w:sz w:val="16"/>
          <w:szCs w:val="16"/>
          <w:color w:val="auto"/>
        </w:rPr>
        <w:t>Our success depends largely on our ability to retain existing clients, in particular those that have highly frequent transactions. Our clients may not continue to place trading orders or increase the level of their trading activities on our platform if we cannot match the prices offered by other market players or if we fail to deliver satisfactory services. Failure to deliver services in a timely manner at competitive prices with satisfactory experience will cause our clients to lose confidence in us and use our platform less frequently or even stop using our platform altogether, which in turn will materially and adversely affect our business. Even if we are able to provide high-quality and satisfactory services on our platform in a timely manner and at favorable price terms, we cannot assure you that we will be able to retain existing clients, encourage repeat and increase trading transactions due to reasons out of our control, such as our clients’ personal financial reasons or the deterioration of the capital markets condition.</w:t>
      </w:r>
    </w:p>
    <w:p>
      <w:pPr>
        <w:spacing w:after="0" w:line="162" w:lineRule="exact"/>
        <w:rPr>
          <w:sz w:val="20"/>
          <w:szCs w:val="20"/>
          <w:color w:val="auto"/>
        </w:rPr>
      </w:pPr>
    </w:p>
    <w:p>
      <w:pPr>
        <w:ind w:left="240" w:right="60" w:firstLine="438"/>
        <w:spacing w:after="0" w:line="255" w:lineRule="auto"/>
        <w:rPr>
          <w:sz w:val="20"/>
          <w:szCs w:val="20"/>
          <w:color w:val="auto"/>
        </w:rPr>
      </w:pPr>
      <w:r>
        <w:rPr>
          <w:rFonts w:ascii="Arial" w:cs="Arial" w:eastAsia="Arial" w:hAnsi="Arial"/>
          <w:sz w:val="18"/>
          <w:szCs w:val="18"/>
          <w:color w:val="auto"/>
        </w:rPr>
        <w:t>We must stay abreast of the needs and preferences of our clients to serve their evolving trading needs as their investment demands change. If we fail to retain our existing clients by offering services that cater to their evolving investment and trading needs, we may not be able to maintain and continue to grow the trading volume on our platform, and our business and results of operations may be adversely affected. In addition, if we are unable to maintain, enhance or develop the methods we use to retain clients, the costs of client retention will significantly increase, and our ability to retain clients may be harmed.</w:t>
      </w:r>
    </w:p>
    <w:p>
      <w:pPr>
        <w:spacing w:after="0" w:line="297" w:lineRule="exact"/>
        <w:rPr>
          <w:sz w:val="20"/>
          <w:szCs w:val="20"/>
          <w:color w:val="auto"/>
        </w:rPr>
      </w:pPr>
    </w:p>
    <w:p>
      <w:pPr>
        <w:ind w:left="240" w:right="480"/>
        <w:spacing w:after="0" w:line="275" w:lineRule="auto"/>
        <w:rPr>
          <w:sz w:val="20"/>
          <w:szCs w:val="20"/>
          <w:color w:val="auto"/>
        </w:rPr>
      </w:pPr>
      <w:r>
        <w:rPr>
          <w:rFonts w:ascii="Arial" w:cs="Arial" w:eastAsia="Arial" w:hAnsi="Arial"/>
          <w:sz w:val="18"/>
          <w:szCs w:val="18"/>
          <w:b w:val="1"/>
          <w:bCs w:val="1"/>
          <w:i w:val="1"/>
          <w:iCs w:val="1"/>
          <w:color w:val="auto"/>
        </w:rPr>
        <w:t>Because our revenues and profitability depend largely on clients’ trading volume, they are prone to significant fluctuations and are difficult to predict.</w:t>
      </w:r>
    </w:p>
    <w:p>
      <w:pPr>
        <w:spacing w:after="0" w:line="63" w:lineRule="exact"/>
        <w:rPr>
          <w:sz w:val="20"/>
          <w:szCs w:val="20"/>
          <w:color w:val="auto"/>
        </w:rPr>
      </w:pPr>
    </w:p>
    <w:p>
      <w:pPr>
        <w:ind w:left="240" w:right="320" w:firstLine="438"/>
        <w:spacing w:after="0" w:line="275" w:lineRule="auto"/>
        <w:rPr>
          <w:sz w:val="20"/>
          <w:szCs w:val="20"/>
          <w:color w:val="auto"/>
        </w:rPr>
      </w:pPr>
      <w:r>
        <w:rPr>
          <w:rFonts w:ascii="Arial" w:cs="Arial" w:eastAsia="Arial" w:hAnsi="Arial"/>
          <w:sz w:val="18"/>
          <w:szCs w:val="18"/>
          <w:color w:val="auto"/>
        </w:rPr>
        <w:t>Our revenues and profitability depend in part on the level of trading activity of the securities of our clients, which are often affected by factors beyond our control, including economic and political conditions, broad trends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7"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88" w:lineRule="auto"/>
        <w:rPr>
          <w:sz w:val="20"/>
          <w:szCs w:val="20"/>
          <w:color w:val="auto"/>
        </w:rPr>
      </w:pPr>
      <w:r>
        <w:rPr>
          <w:rFonts w:ascii="Arial" w:cs="Arial" w:eastAsia="Arial" w:hAnsi="Arial"/>
          <w:sz w:val="16"/>
          <w:szCs w:val="16"/>
          <w:color w:val="auto"/>
        </w:rPr>
        <w:t>in business and finance and changes in the markets in which such transactions occur. Weaknesses in the markets in which we operate, including economic slowdowns, have historically resulted in reduced trading volumes for us. Declines in trading volumes generally result in lower revenues from transaction execution activities. Lower levels of volatility generally have the same directional impact. Declines in market values of securities or other financial instruments can also result in illiquid markets, which can also result in lower revenues and profitability from transaction execution activities. Lower price levels of securities and other financial instruments, as well as compressed bid/ask spreads, which often follow lower pricing, can further result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Any of the foregoing factors could have a material adverse effect on our business, financial condition, results of operations and cash flows.</w:t>
      </w:r>
    </w:p>
    <w:p>
      <w:pPr>
        <w:spacing w:after="0" w:line="167" w:lineRule="exact"/>
        <w:rPr>
          <w:sz w:val="20"/>
          <w:szCs w:val="20"/>
          <w:color w:val="auto"/>
        </w:rPr>
      </w:pPr>
    </w:p>
    <w:p>
      <w:pPr>
        <w:ind w:left="240" w:firstLine="438"/>
        <w:spacing w:after="0" w:line="295" w:lineRule="auto"/>
        <w:rPr>
          <w:sz w:val="20"/>
          <w:szCs w:val="20"/>
          <w:color w:val="auto"/>
        </w:rPr>
      </w:pPr>
      <w:r>
        <w:rPr>
          <w:rFonts w:ascii="Arial" w:cs="Arial" w:eastAsia="Arial" w:hAnsi="Arial"/>
          <w:sz w:val="16"/>
          <w:szCs w:val="16"/>
          <w:color w:val="auto"/>
        </w:rPr>
        <w:t>Our business is also subject to general economic and political conditions in Hong Kong, the PRC and abroad, such as macroeconomic and monetary policies, legislation and regulations affecting the financial and securities industries, upward and downward trends in the business and financial sectors, inflation, currency fluctuations, availability of short-term and long-term funding sources, cost of funding and the level and volatility of interest rates. For example, a drop in the capital markets performance as a result of the ongoing trade disputes between China and the United States could negatively impact our revenues and profitability. As a result of these risks, our income and operating results may be subject to significant fluctuations.</w:t>
      </w:r>
    </w:p>
    <w:p>
      <w:pPr>
        <w:spacing w:after="0" w:line="266" w:lineRule="exact"/>
        <w:rPr>
          <w:sz w:val="20"/>
          <w:szCs w:val="20"/>
          <w:color w:val="auto"/>
        </w:rPr>
      </w:pPr>
    </w:p>
    <w:p>
      <w:pPr>
        <w:ind w:left="240" w:right="280"/>
        <w:spacing w:after="0" w:line="275" w:lineRule="auto"/>
        <w:rPr>
          <w:sz w:val="20"/>
          <w:szCs w:val="20"/>
          <w:color w:val="auto"/>
        </w:rPr>
      </w:pPr>
      <w:r>
        <w:rPr>
          <w:rFonts w:ascii="Arial" w:cs="Arial" w:eastAsia="Arial" w:hAnsi="Arial"/>
          <w:sz w:val="18"/>
          <w:szCs w:val="18"/>
          <w:b w:val="1"/>
          <w:bCs w:val="1"/>
          <w:i w:val="1"/>
          <w:iCs w:val="1"/>
          <w:color w:val="auto"/>
        </w:rPr>
        <w:t>Our current level of commission and fee rates may decline in the future. Any material reduction in our commission or fee rates could reduce our profitability.</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derive a significant portion of our revenues from commissions and fees paid by our clients for trading securities through our platform. For the</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years ended December 31, 2016 and 2017, our brokerage commission income and handling charge income amounted to HK$74.5 million and</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HK$184.9 million (US$23.7 million), representing 85.6% and 59.3% of our total revenues during the same years, respectively. We may experience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pressure on our commission or fee rates as a result of competition we face in the online brokerage service industry. Some of our competitors offer a</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broader range of services to a larger client base, and enjoy higher trading volumes, than we do. Consequently, our competitors may be able and willing</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 offer trading services at lower commission or fee rates than we currently offer or may be able to offer. For example, some banks in Hong Kong and</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United States have started to offer zero commission fees or similar policies to attract securities investors. As a result of this pricing competition, we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could lose both market share and revenues. We believe that any downward pressure on commission or fee rates would likely continue and intensify as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continue to develop our business and gain recognition in our markets. A decline in our commission or fee rates could lower our revenues, which</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would adversely affect our profitability. In addition, our competitors may offer other financial incentives such as rebates or discounts in order to induce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trading in their systems rather than in ours. If our commission or fee rate decreases significantly, our operating and financial results may be materially</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 adversely affected.</w:t>
      </w:r>
    </w:p>
    <w:p>
      <w:pPr>
        <w:spacing w:after="0" w:line="3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Fluctuations in market interest rates may negatively affect our financial condition and results of operations.</w:t>
      </w:r>
    </w:p>
    <w:p>
      <w:pPr>
        <w:spacing w:after="0" w:line="115" w:lineRule="exact"/>
        <w:rPr>
          <w:sz w:val="20"/>
          <w:szCs w:val="20"/>
          <w:color w:val="auto"/>
        </w:rPr>
      </w:pPr>
    </w:p>
    <w:p>
      <w:pPr>
        <w:ind w:left="240" w:right="40" w:firstLine="438"/>
        <w:spacing w:after="0" w:line="252" w:lineRule="auto"/>
        <w:rPr>
          <w:sz w:val="20"/>
          <w:szCs w:val="20"/>
          <w:color w:val="auto"/>
        </w:rPr>
      </w:pPr>
      <w:r>
        <w:rPr>
          <w:rFonts w:ascii="Arial" w:cs="Arial" w:eastAsia="Arial" w:hAnsi="Arial"/>
          <w:sz w:val="18"/>
          <w:szCs w:val="18"/>
          <w:color w:val="auto"/>
        </w:rPr>
        <w:t>We derive a part of our revenues from charging interests on margin balances in connection with our margin financing and security lending businesses. For the years ended December 31, 2016 and 2017, our revenues from interest income derived from our margin financing and securities lending businesses amounted to HK$1.8 million and HK$65.5 million (US$8.4 million), representing 2.0% and 21.0% of our total revenues during the same years, respectively. For the same periods, our interest income derived from bank deposits were HK$4.0 million and HK$34.1 million (US$4.4 million), representing 4.6% and 10.9% of our total revenues during the same years, respectively. The trend of the level of interest rates is an important factor affecting our earnings. A decline in interest rates may have a negative impact on our interest income and thus ultimately adversely impact our total revenues. While we generally derive higher interest income when there is an increase in market interest rates, a rise in interest rates may also cause our interest expenses to increase. If we are unable to effectively manage our interest rate risk, changes in interest rates could have a material adverse effect on our profitability.</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7"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60" w:firstLine="438"/>
        <w:spacing w:after="0" w:line="254" w:lineRule="auto"/>
        <w:rPr>
          <w:sz w:val="20"/>
          <w:szCs w:val="20"/>
          <w:color w:val="auto"/>
        </w:rPr>
      </w:pPr>
      <w:r>
        <w:rPr>
          <w:rFonts w:ascii="Arial" w:cs="Arial" w:eastAsia="Arial" w:hAnsi="Arial"/>
          <w:sz w:val="18"/>
          <w:szCs w:val="18"/>
          <w:color w:val="auto"/>
        </w:rPr>
        <w:t>Although our management believes that it has implemented effective management strategies to reduce the potential effects of changes in interest rates on our results of operations, any substantial, unexpected or prolonged change in market interest rates could have a material adverse effect on our financial condition and results of operations. Also, our interest rate risk modeling techniques and assumptions likely may not fully predict or capture the impact of actual interest rate changes on our balance sheet. For further discussion of how changes in interest rates could impact us, see “Management’s Discussion and Analysis of Financial Condition and Results of Operations—Quantitative and Qualitative Disclosures about Market Risk—Interest Rate Risk” of this prospectus.</w:t>
      </w:r>
    </w:p>
    <w:p>
      <w:pPr>
        <w:spacing w:after="0" w:line="297" w:lineRule="exact"/>
        <w:rPr>
          <w:sz w:val="20"/>
          <w:szCs w:val="20"/>
          <w:color w:val="auto"/>
        </w:rPr>
      </w:pPr>
    </w:p>
    <w:p>
      <w:pPr>
        <w:ind w:left="240"/>
        <w:spacing w:after="0" w:line="262" w:lineRule="auto"/>
        <w:rPr>
          <w:sz w:val="20"/>
          <w:szCs w:val="20"/>
          <w:color w:val="auto"/>
        </w:rPr>
      </w:pPr>
      <w:r>
        <w:rPr>
          <w:rFonts w:ascii="Arial" w:cs="Arial" w:eastAsia="Arial" w:hAnsi="Arial"/>
          <w:sz w:val="18"/>
          <w:szCs w:val="18"/>
          <w:b w:val="1"/>
          <w:bCs w:val="1"/>
          <w:i w:val="1"/>
          <w:iCs w:val="1"/>
          <w:color w:val="auto"/>
        </w:rPr>
        <w:t>We may not be able to develop our margin financing and securities lending business as expected and may be exposed to credit risks related to these businesses. In addition, we need adequate funding at reasonable costs to successfully operate our margin financing business, and access to adequate funding at reasonable costs cannot be assured.</w:t>
      </w:r>
    </w:p>
    <w:p>
      <w:pPr>
        <w:spacing w:after="0" w:line="74" w:lineRule="exact"/>
        <w:rPr>
          <w:sz w:val="20"/>
          <w:szCs w:val="20"/>
          <w:color w:val="auto"/>
        </w:rPr>
      </w:pPr>
    </w:p>
    <w:p>
      <w:pPr>
        <w:ind w:left="240" w:firstLine="438"/>
        <w:spacing w:after="0" w:line="288" w:lineRule="auto"/>
        <w:rPr>
          <w:sz w:val="20"/>
          <w:szCs w:val="20"/>
          <w:color w:val="auto"/>
        </w:rPr>
      </w:pPr>
      <w:r>
        <w:rPr>
          <w:rFonts w:ascii="Arial" w:cs="Arial" w:eastAsia="Arial" w:hAnsi="Arial"/>
          <w:sz w:val="16"/>
          <w:szCs w:val="16"/>
          <w:color w:val="auto"/>
        </w:rPr>
        <w:t>Our margin financing and securities lending businesses may not develop as expected if clients fail to perform contractual obligations or the value of collateral held to secure the obligations is inadequate. We have adopted comprehensive internal policies and procedures designed to manage such risks. For example, once the margin value falls below the outstanding amount of the relevant loan extended as a result of a market downturn or adverse movement in the prices of the pledged securities, we will make a margin call requesting the client to deposit additional funds, sell securities or pledge additional securities to top up their margin value. If the client’s margin value still falls below the required standard, we will initiate our liquidation protection mechanism on a real-time basis to bring the client’s account into margin compliance. Nevertheless, we cannot assure you that we will not be exposed to any credit risks associated with our margin financing and securities lending businesses. See “—Our risk management policies and procedures may not be fully effective in identifying or mitigating risk exposure in all market environments or against all types of risks.”</w:t>
      </w:r>
    </w:p>
    <w:p>
      <w:pPr>
        <w:spacing w:after="0" w:line="167" w:lineRule="exact"/>
        <w:rPr>
          <w:sz w:val="20"/>
          <w:szCs w:val="20"/>
          <w:color w:val="auto"/>
        </w:rPr>
      </w:pPr>
    </w:p>
    <w:p>
      <w:pPr>
        <w:ind w:left="240" w:firstLine="438"/>
        <w:spacing w:after="0" w:line="267" w:lineRule="auto"/>
        <w:rPr>
          <w:sz w:val="20"/>
          <w:szCs w:val="20"/>
          <w:color w:val="auto"/>
        </w:rPr>
      </w:pPr>
      <w:r>
        <w:rPr>
          <w:rFonts w:ascii="Arial" w:cs="Arial" w:eastAsia="Arial" w:hAnsi="Arial"/>
          <w:sz w:val="17"/>
          <w:szCs w:val="17"/>
          <w:color w:val="auto"/>
        </w:rPr>
        <w:t>Moreover, the growth and success of our margin financing business depend on the availability of adequate funding to meet our client demand for loans on our platform. We derive the funding for our margin financing business from a variety of sources, including funding secured from commercial banks, other licensed financial institutions and other parties, prior to this offering as well as financing generated from our business operations. To the extent there is insufficient funding from institutional funding partners who are willing to accept the credit risk related to the collateral from our clients, the funds available for our margin financing business might be limited and our ability to provide margin financing services to our clients to address their demand for loans would be adversely impacted. In addition, as we strive to offer our clients competitively priced services and the online brokerage market is intensely competitive, we may attempt to further reduce our interest expenses from our funding partners. If we cannot continue to maintain our relationship with these funding partners and obtain adequate funding at reasonable costs, we may not be able to continue to offer or grow our margin financing business. To the extent that our funding sources find the risk-adjusted returns with us less attractive, we may not be able to obtain the requisite level of funding at reasonable costs, or at all. If our platform is unable to provide our clients with margin loans or fund the loans on a timely basis due to insufficient funding or less favorable pricing compared to those of our competitors, it would harm our business, financial condition and results of operations.</w:t>
      </w:r>
    </w:p>
    <w:p>
      <w:pPr>
        <w:spacing w:after="0" w:line="291" w:lineRule="exact"/>
        <w:rPr>
          <w:sz w:val="20"/>
          <w:szCs w:val="20"/>
          <w:color w:val="auto"/>
        </w:rPr>
      </w:pPr>
    </w:p>
    <w:p>
      <w:pPr>
        <w:ind w:left="240" w:right="620"/>
        <w:spacing w:after="0" w:line="305" w:lineRule="auto"/>
        <w:rPr>
          <w:sz w:val="20"/>
          <w:szCs w:val="20"/>
          <w:color w:val="auto"/>
        </w:rPr>
      </w:pPr>
      <w:r>
        <w:rPr>
          <w:rFonts w:ascii="Arial" w:cs="Arial" w:eastAsia="Arial" w:hAnsi="Arial"/>
          <w:sz w:val="17"/>
          <w:szCs w:val="17"/>
          <w:b w:val="1"/>
          <w:bCs w:val="1"/>
          <w:i w:val="1"/>
          <w:iCs w:val="1"/>
          <w:color w:val="auto"/>
        </w:rPr>
        <w:t>If we fail to respond in a timely and cost-effective manner to the needs of our users and clients or if our new service offerings do not achieve sufficient market acceptance, our business and results of operations may be materially and adversely affected.</w:t>
      </w:r>
    </w:p>
    <w:p>
      <w:pPr>
        <w:spacing w:after="0" w:line="40" w:lineRule="exact"/>
        <w:rPr>
          <w:sz w:val="20"/>
          <w:szCs w:val="20"/>
          <w:color w:val="auto"/>
        </w:rPr>
      </w:pPr>
    </w:p>
    <w:p>
      <w:pPr>
        <w:ind w:left="240" w:right="20" w:firstLine="438"/>
        <w:spacing w:after="0" w:line="255" w:lineRule="auto"/>
        <w:rPr>
          <w:sz w:val="20"/>
          <w:szCs w:val="20"/>
          <w:color w:val="auto"/>
        </w:rPr>
      </w:pPr>
      <w:r>
        <w:rPr>
          <w:rFonts w:ascii="Arial" w:cs="Arial" w:eastAsia="Arial" w:hAnsi="Arial"/>
          <w:sz w:val="18"/>
          <w:szCs w:val="18"/>
          <w:color w:val="auto"/>
        </w:rPr>
        <w:t>Our future success will depend in part on our ability to develop and introduce new service offerings to respond to the evolving needs of our users and clients in a timely and cost-effective manner. We provide services in markets that are characterized by rapid technological change, evolving industry standards, frequent new service introductions, and increasing demand for higher levels of client experience. In recent years, we have expanded our service offerings for our users and clients from online brokerage services to margin financing services and further to other ancillary tools and functions and may continue to expand our new service offerings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7"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40"/>
        <w:spacing w:after="0" w:line="262" w:lineRule="auto"/>
        <w:rPr>
          <w:sz w:val="20"/>
          <w:szCs w:val="20"/>
          <w:color w:val="auto"/>
        </w:rPr>
      </w:pPr>
      <w:r>
        <w:rPr>
          <w:rFonts w:ascii="Arial" w:cs="Arial" w:eastAsia="Arial" w:hAnsi="Arial"/>
          <w:sz w:val="18"/>
          <w:szCs w:val="18"/>
          <w:color w:val="auto"/>
        </w:rPr>
        <w:t>in the future. However, we have limited experience in new service offerings, and expansion into new service offerings may involve new risks and challenges that we may not have experienced before. We cannot assure you that we will be able to overcome such new risks and challenges and make our new service offerings successful.</w:t>
      </w:r>
    </w:p>
    <w:p>
      <w:pPr>
        <w:spacing w:after="0" w:line="181" w:lineRule="exact"/>
        <w:rPr>
          <w:sz w:val="20"/>
          <w:szCs w:val="20"/>
          <w:color w:val="auto"/>
        </w:rPr>
      </w:pPr>
    </w:p>
    <w:p>
      <w:pPr>
        <w:ind w:left="240" w:right="80" w:firstLine="438"/>
        <w:spacing w:after="0" w:line="255" w:lineRule="auto"/>
        <w:rPr>
          <w:sz w:val="20"/>
          <w:szCs w:val="20"/>
          <w:color w:val="auto"/>
        </w:rPr>
      </w:pPr>
      <w:r>
        <w:rPr>
          <w:rFonts w:ascii="Arial" w:cs="Arial" w:eastAsia="Arial" w:hAnsi="Arial"/>
          <w:sz w:val="18"/>
          <w:szCs w:val="18"/>
          <w:color w:val="auto"/>
        </w:rPr>
        <w:t>Our ability to anticipate and identify the evolving needs of our users and clients and to develop and introduce new service offerings to address such needs will be a significant factor in maintaining or improving our competitive position and prospects for growth. We may also have to incur substantial unanticipated costs to maintain and further strengthen such ability. Our success will also depend on our ability to develop and introduce new services and enhance existing services for our users and clients in a timely manner. Even if we introduce new and enhanced services to the market, they may not achieve market acceptance.</w:t>
      </w:r>
    </w:p>
    <w:p>
      <w:pPr>
        <w:spacing w:after="0" w:line="189" w:lineRule="exact"/>
        <w:rPr>
          <w:sz w:val="20"/>
          <w:szCs w:val="20"/>
          <w:color w:val="auto"/>
        </w:rPr>
      </w:pPr>
    </w:p>
    <w:p>
      <w:pPr>
        <w:ind w:left="240" w:right="60" w:firstLine="438"/>
        <w:spacing w:after="0" w:line="255" w:lineRule="auto"/>
        <w:rPr>
          <w:sz w:val="20"/>
          <w:szCs w:val="20"/>
          <w:color w:val="auto"/>
        </w:rPr>
      </w:pPr>
      <w:r>
        <w:rPr>
          <w:rFonts w:ascii="Arial" w:cs="Arial" w:eastAsia="Arial" w:hAnsi="Arial"/>
          <w:sz w:val="18"/>
          <w:szCs w:val="18"/>
          <w:color w:val="auto"/>
        </w:rPr>
        <w:t>We believe that we must continue to make investments to support ongoing research and development in order to develop new or enhanced service offerings to remain competitive. We need to continue to develop and introduce new services that incorporate the latest technological advancements in response to evolving user and client needs. Our business and results of operations could be adversely affected if we do not anticipate or respond adequately to technological developments or the changing needs of our users and clients. We cannot assure you that any such investments in research and development will lead to any corresponding increase in revenue.</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depend on our proprietary technology, and our future results may be impacted if we cannot maintain technological superiority in our industry.</w:t>
      </w:r>
    </w:p>
    <w:p>
      <w:pPr>
        <w:spacing w:after="0" w:line="150" w:lineRule="exact"/>
        <w:rPr>
          <w:sz w:val="20"/>
          <w:szCs w:val="20"/>
          <w:color w:val="auto"/>
        </w:rPr>
      </w:pPr>
    </w:p>
    <w:p>
      <w:pPr>
        <w:ind w:left="240" w:right="40" w:firstLine="438"/>
        <w:spacing w:after="0" w:line="257" w:lineRule="auto"/>
        <w:rPr>
          <w:sz w:val="20"/>
          <w:szCs w:val="20"/>
          <w:color w:val="auto"/>
        </w:rPr>
      </w:pPr>
      <w:r>
        <w:rPr>
          <w:rFonts w:ascii="Arial" w:cs="Arial" w:eastAsia="Arial" w:hAnsi="Arial"/>
          <w:sz w:val="18"/>
          <w:szCs w:val="18"/>
          <w:color w:val="auto"/>
        </w:rPr>
        <w:t>Our success in the past has largely been attributable to our sophisticated proprietary technology that has empowered the efficient operations of our platform. We have benefited from the fact that the type of proprietary technology equivalent to which we employ has not been widely available to our competitors. If our technology becomes more widely available to our current or future competitors for any reason, our operating results may be adversely affected.</w:t>
      </w:r>
    </w:p>
    <w:p>
      <w:pPr>
        <w:spacing w:after="0" w:line="188" w:lineRule="exact"/>
        <w:rPr>
          <w:sz w:val="20"/>
          <w:szCs w:val="20"/>
          <w:color w:val="auto"/>
        </w:rPr>
      </w:pPr>
    </w:p>
    <w:p>
      <w:pPr>
        <w:ind w:left="240" w:right="40" w:firstLine="438"/>
        <w:spacing w:after="0" w:line="287" w:lineRule="auto"/>
        <w:rPr>
          <w:sz w:val="20"/>
          <w:szCs w:val="20"/>
          <w:color w:val="auto"/>
        </w:rPr>
      </w:pPr>
      <w:r>
        <w:rPr>
          <w:rFonts w:ascii="Arial" w:cs="Arial" w:eastAsia="Arial" w:hAnsi="Arial"/>
          <w:sz w:val="16"/>
          <w:szCs w:val="16"/>
          <w:color w:val="auto"/>
        </w:rPr>
        <w:t>Additionally, to keep pace with changing technologies and client demands, we must correctly interpret and address market trends and enhance the features and functionality of our technology in response to these trends, which may lead to significant research and development costs. We may be unable to accurately determine the needs of our users and clients or the trends in the online brokerage industry or to design and implement the appropriate features and functionality of our technology in a timely and cost-effective manner, which could result in decreased demand for our services and a corresponding decrease in our revenue. Also, any adoption or development of similar or more advanced technologies by our competitors may require that we devote substantial resources to the development of more advanced technology to remain competitive. The markets in which we compete are characterized by rapidly changing technology, evolving industry standards and changing trading systems, practices and techniques. Although we have been at the forefront of many of these developments in the past, we may not be able to keep up with these rapid changes in the future, develop new technology, realize a return on amounts invested in developing new technologies or remain competitive in the future.</w:t>
      </w:r>
    </w:p>
    <w:p>
      <w:pPr>
        <w:spacing w:after="0" w:line="168" w:lineRule="exact"/>
        <w:rPr>
          <w:sz w:val="20"/>
          <w:szCs w:val="20"/>
          <w:color w:val="auto"/>
        </w:rPr>
      </w:pPr>
    </w:p>
    <w:p>
      <w:pPr>
        <w:jc w:val="both"/>
        <w:ind w:left="240" w:right="380" w:firstLine="438"/>
        <w:spacing w:after="0" w:line="309" w:lineRule="auto"/>
        <w:rPr>
          <w:sz w:val="20"/>
          <w:szCs w:val="20"/>
          <w:color w:val="auto"/>
        </w:rPr>
      </w:pPr>
      <w:r>
        <w:rPr>
          <w:rFonts w:ascii="Arial" w:cs="Arial" w:eastAsia="Arial" w:hAnsi="Arial"/>
          <w:sz w:val="16"/>
          <w:szCs w:val="16"/>
          <w:color w:val="auto"/>
        </w:rPr>
        <w:t>In addition, we must protect our systems against physical damage from fire, earthquakes, power loss, telecommunications failures, computer viruses, hacker attacks, physical break-ins and similar events. Any software or hardware damage or failure that causes interruption or an increase in response time of our proprietary technology could reduce client satisfaction and decrease usage of our services.</w:t>
      </w:r>
    </w:p>
    <w:p>
      <w:pPr>
        <w:spacing w:after="0" w:line="256" w:lineRule="exact"/>
        <w:rPr>
          <w:sz w:val="20"/>
          <w:szCs w:val="20"/>
          <w:color w:val="auto"/>
        </w:rPr>
      </w:pPr>
    </w:p>
    <w:p>
      <w:pPr>
        <w:ind w:left="240" w:right="440"/>
        <w:spacing w:after="0" w:line="275" w:lineRule="auto"/>
        <w:rPr>
          <w:sz w:val="20"/>
          <w:szCs w:val="20"/>
          <w:color w:val="auto"/>
        </w:rPr>
      </w:pPr>
      <w:r>
        <w:rPr>
          <w:rFonts w:ascii="Arial" w:cs="Arial" w:eastAsia="Arial" w:hAnsi="Arial"/>
          <w:sz w:val="18"/>
          <w:szCs w:val="18"/>
          <w:b w:val="1"/>
          <w:bCs w:val="1"/>
          <w:i w:val="1"/>
          <w:iCs w:val="1"/>
          <w:color w:val="auto"/>
        </w:rPr>
        <w:t>Unexpected network interruptions, security breaches or computer virus attacks and system failures could have a material adverse effect on our business, financial condition and results of operations.</w:t>
      </w:r>
    </w:p>
    <w:p>
      <w:pPr>
        <w:spacing w:after="0" w:line="63"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Our internet-based business depends on the performance and reliability of the internet infrastructure. We cannot assure you that the internet infrastructure we depend on will remain sufficiently reliable for our needs. Any failure to maintain the performance, reliability, security or availability of our network infrastructure may</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7"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cause significant damage to our ability to attract and retain users and clients. Major risks involving our network infrastructure include:</w:t>
      </w:r>
    </w:p>
    <w:p>
      <w:pPr>
        <w:spacing w:after="0" w:line="129" w:lineRule="exact"/>
        <w:rPr>
          <w:sz w:val="20"/>
          <w:szCs w:val="20"/>
          <w:color w:val="auto"/>
        </w:rPr>
      </w:pPr>
    </w:p>
    <w:p>
      <w:pPr>
        <w:ind w:left="1100" w:hanging="32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breakdowns or system failures resulting in a prolonged shutdown of our servers;</w:t>
      </w:r>
    </w:p>
    <w:p>
      <w:pPr>
        <w:spacing w:after="0" w:line="128" w:lineRule="exact"/>
        <w:rPr>
          <w:rFonts w:ascii="Arial" w:cs="Arial" w:eastAsia="Arial" w:hAnsi="Arial"/>
          <w:sz w:val="18"/>
          <w:szCs w:val="18"/>
          <w:color w:val="auto"/>
        </w:rPr>
      </w:pPr>
    </w:p>
    <w:p>
      <w:pPr>
        <w:ind w:left="1100" w:right="100" w:hanging="327"/>
        <w:spacing w:after="0" w:line="275"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 or failure in the national backbone networks in China, which would make it impossible for users and clients to access our online and mobile platforms;</w:t>
      </w:r>
    </w:p>
    <w:p>
      <w:pPr>
        <w:spacing w:after="0" w:line="76" w:lineRule="exact"/>
        <w:rPr>
          <w:rFonts w:ascii="Arial" w:cs="Arial" w:eastAsia="Arial" w:hAnsi="Arial"/>
          <w:sz w:val="18"/>
          <w:szCs w:val="18"/>
          <w:color w:val="auto"/>
        </w:rPr>
      </w:pPr>
    </w:p>
    <w:p>
      <w:pPr>
        <w:ind w:left="1100" w:right="460" w:hanging="327"/>
        <w:spacing w:after="0" w:line="275"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from natural disasters or other catastrophic events such as typhoon, volcanic eruption, earthquake, flood, telecommunications failure, or other similar events; and</w:t>
      </w:r>
    </w:p>
    <w:p>
      <w:pPr>
        <w:spacing w:after="0" w:line="76" w:lineRule="exact"/>
        <w:rPr>
          <w:rFonts w:ascii="Arial" w:cs="Arial" w:eastAsia="Arial" w:hAnsi="Arial"/>
          <w:sz w:val="18"/>
          <w:szCs w:val="18"/>
          <w:color w:val="auto"/>
        </w:rPr>
      </w:pPr>
    </w:p>
    <w:p>
      <w:pPr>
        <w:ind w:left="1100" w:hanging="32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infection by or spread of computer viruses or other system failures.</w:t>
      </w:r>
    </w:p>
    <w:p>
      <w:pPr>
        <w:spacing w:after="0" w:line="223" w:lineRule="exact"/>
        <w:rPr>
          <w:sz w:val="20"/>
          <w:szCs w:val="20"/>
          <w:color w:val="auto"/>
        </w:rPr>
      </w:pPr>
    </w:p>
    <w:p>
      <w:pPr>
        <w:ind w:left="240" w:right="120" w:firstLine="438"/>
        <w:spacing w:after="0" w:line="269" w:lineRule="auto"/>
        <w:rPr>
          <w:sz w:val="20"/>
          <w:szCs w:val="20"/>
          <w:color w:val="auto"/>
        </w:rPr>
      </w:pPr>
      <w:r>
        <w:rPr>
          <w:rFonts w:ascii="Arial" w:cs="Arial" w:eastAsia="Arial" w:hAnsi="Arial"/>
          <w:sz w:val="17"/>
          <w:szCs w:val="17"/>
          <w:color w:val="auto"/>
        </w:rPr>
        <w:t>Any network interruption or inadequacy that causes interruptions in the availability of our online and mobile platforms or deterioration in the quality of access to our online and mobile platforms could reduce user and client satisfaction and result in a reduction in the activity level of our users and clients as well as the number of clients making trading transactions on our platform. Furthermore, increases in the volume of traffic on our online and mobile platforms could strain the capacity of our existing computer systems and bandwidth, which could lead to slower response times or system failures. The internet infrastructure we depend on may not support the demands associated with continued growth in internet usage. This could cause a disruption or suspension in our service delivery, which could hurt our brand and reputation. We may need to incur additional costs to upgrade our technology infrastructure and computer systems in order to accommodate increased demand if we anticipate that our systems cannot handle higher volumes of traffic and transaction in the future.</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Failure or poor performance of third-party software, infrastructure or systems on which we rely could adversely affect our business.</w:t>
      </w:r>
    </w:p>
    <w:p>
      <w:pPr>
        <w:spacing w:after="0" w:line="127"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We rely on third parties to provide and maintain certain infrastructure that is critical to our business. For example, a strategic partner provides services to us in connection with various aspects of our operations and systems. If such services become limited, restricted, curtailed or less effective or more expensive in any way or become unavailable to us for any reason, our business may be materially and adversely affected. The infrastructure of our third-party service providers may malfunction or fail due to events out of our control, which could disrupt our operations and have a material adverse effect on our business, financial condition, results of operations and cash flows. Any failure to maintain and renew our relationships with these third parties on commercially favorable terms, or to enter into similar relationships in the future, could have a material adverse effect on our business, financial condition, results of operations and cash flows.</w:t>
      </w:r>
    </w:p>
    <w:p>
      <w:pPr>
        <w:spacing w:after="0" w:line="179" w:lineRule="exact"/>
        <w:rPr>
          <w:sz w:val="20"/>
          <w:szCs w:val="20"/>
          <w:color w:val="auto"/>
        </w:rPr>
      </w:pPr>
    </w:p>
    <w:p>
      <w:pPr>
        <w:ind w:left="240" w:right="140" w:firstLine="438"/>
        <w:spacing w:after="0" w:line="292" w:lineRule="auto"/>
        <w:rPr>
          <w:sz w:val="20"/>
          <w:szCs w:val="20"/>
          <w:color w:val="auto"/>
        </w:rPr>
      </w:pPr>
      <w:r>
        <w:rPr>
          <w:rFonts w:ascii="Arial" w:cs="Arial" w:eastAsia="Arial" w:hAnsi="Arial"/>
          <w:sz w:val="16"/>
          <w:szCs w:val="16"/>
          <w:color w:val="auto"/>
        </w:rPr>
        <w:t>We also rely on certain third-party software, third-party computer systems and service providers, including clearing systems, exchange systems, alternate trading systems, order-routing systems, internet service providers, communications facilities and other facilities. Any interruption in these third-party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results of operations and cash flows.</w:t>
      </w:r>
    </w:p>
    <w:p>
      <w:pPr>
        <w:spacing w:after="0" w:line="268" w:lineRule="exact"/>
        <w:rPr>
          <w:sz w:val="20"/>
          <w:szCs w:val="20"/>
          <w:color w:val="auto"/>
        </w:rPr>
      </w:pPr>
    </w:p>
    <w:p>
      <w:pPr>
        <w:ind w:left="240" w:right="280"/>
        <w:spacing w:after="0" w:line="373" w:lineRule="auto"/>
        <w:rPr>
          <w:sz w:val="20"/>
          <w:szCs w:val="20"/>
          <w:color w:val="auto"/>
        </w:rPr>
      </w:pPr>
      <w:r>
        <w:rPr>
          <w:rFonts w:ascii="Arial" w:cs="Arial" w:eastAsia="Arial" w:hAnsi="Arial"/>
          <w:sz w:val="15"/>
          <w:szCs w:val="15"/>
          <w:b w:val="1"/>
          <w:bCs w:val="1"/>
          <w:i w:val="1"/>
          <w:iCs w:val="1"/>
          <w:color w:val="auto"/>
        </w:rPr>
        <w:t>If major mobile application distribution channels change their standard terms and conditions in a manner that is detrimental to us, or terminate their existing relationship with us, our business, financial condition and results of operations may be materially and adversely affected.</w:t>
      </w:r>
    </w:p>
    <w:p>
      <w:pPr>
        <w:spacing w:after="0" w:line="1" w:lineRule="exact"/>
        <w:rPr>
          <w:sz w:val="20"/>
          <w:szCs w:val="20"/>
          <w:color w:val="auto"/>
        </w:rPr>
      </w:pPr>
    </w:p>
    <w:p>
      <w:pPr>
        <w:ind w:left="240" w:right="60" w:firstLine="438"/>
        <w:spacing w:after="0" w:line="309" w:lineRule="auto"/>
        <w:rPr>
          <w:sz w:val="20"/>
          <w:szCs w:val="20"/>
          <w:color w:val="auto"/>
        </w:rPr>
      </w:pPr>
      <w:r>
        <w:rPr>
          <w:rFonts w:ascii="Arial" w:cs="Arial" w:eastAsia="Arial" w:hAnsi="Arial"/>
          <w:sz w:val="16"/>
          <w:szCs w:val="16"/>
          <w:color w:val="auto"/>
        </w:rPr>
        <w:t xml:space="preserve">We currently rely on Apple’s app store, Google’s Play Store and major PRC-based Android app stores to distribute our </w:t>
      </w:r>
      <w:r>
        <w:rPr>
          <w:rFonts w:ascii="Arial" w:cs="Arial" w:eastAsia="Arial" w:hAnsi="Arial"/>
          <w:sz w:val="16"/>
          <w:szCs w:val="16"/>
          <w:i w:val="1"/>
          <w:iCs w:val="1"/>
          <w:color w:val="auto"/>
        </w:rPr>
        <w:t>Futu NiuNiu</w:t>
      </w:r>
      <w:r>
        <w:rPr>
          <w:rFonts w:ascii="Arial" w:cs="Arial" w:eastAsia="Arial" w:hAnsi="Arial"/>
          <w:sz w:val="16"/>
          <w:szCs w:val="16"/>
          <w:color w:val="auto"/>
        </w:rPr>
        <w:t xml:space="preserve"> mobile application to users. As such, the promotion, distribution and operation of our application are subject to such distribution platforms’ standard terms and policies for application developers, which are subject to the interpretation of, and frequent changes by, these distribution channels. If these third-</w:t>
      </w:r>
    </w:p>
    <w:p>
      <w:pPr>
        <w:spacing w:after="0" w:line="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240" w:top="457"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spacing w:after="0" w:line="262" w:lineRule="auto"/>
        <w:rPr>
          <w:sz w:val="20"/>
          <w:szCs w:val="20"/>
          <w:color w:val="auto"/>
        </w:rPr>
      </w:pPr>
      <w:r>
        <w:rPr>
          <w:rFonts w:ascii="Arial" w:cs="Arial" w:eastAsia="Arial" w:hAnsi="Arial"/>
          <w:sz w:val="18"/>
          <w:szCs w:val="18"/>
          <w:color w:val="auto"/>
        </w:rPr>
        <w:t>party distribution platforms change their terms and conditions in a manner that is detrimental to us, or refuse to distribute our application, or if any other major distribution channel with which we would like to seek collaboration refuses to collaborate with us in the future, our business, financial condition and results of operations may be materially and adversely affected.</w:t>
      </w:r>
    </w:p>
    <w:p>
      <w:pPr>
        <w:spacing w:after="0" w:line="289" w:lineRule="exact"/>
        <w:rPr>
          <w:sz w:val="20"/>
          <w:szCs w:val="20"/>
          <w:color w:val="auto"/>
        </w:rPr>
      </w:pPr>
    </w:p>
    <w:p>
      <w:pPr>
        <w:ind w:left="240" w:right="420"/>
        <w:spacing w:after="0" w:line="262" w:lineRule="auto"/>
        <w:rPr>
          <w:sz w:val="20"/>
          <w:szCs w:val="20"/>
          <w:color w:val="auto"/>
        </w:rPr>
      </w:pPr>
      <w:r>
        <w:rPr>
          <w:rFonts w:ascii="Arial" w:cs="Arial" w:eastAsia="Arial" w:hAnsi="Arial"/>
          <w:sz w:val="18"/>
          <w:szCs w:val="18"/>
          <w:b w:val="1"/>
          <w:bCs w:val="1"/>
          <w:i w:val="1"/>
          <w:iCs w:val="1"/>
          <w:color w:val="auto"/>
        </w:rPr>
        <w:t>If we fail to protect the confidential information of our users and clients, whether due to cyber-attacks, computer viruses, physical or electronic break-ins or other reasons, we may be subject to liabilities imposed by relevant laws and regulations, and our reputation and business may be materially and adversely affected.</w:t>
      </w:r>
    </w:p>
    <w:p>
      <w:pPr>
        <w:spacing w:after="0" w:line="74" w:lineRule="exact"/>
        <w:rPr>
          <w:sz w:val="20"/>
          <w:szCs w:val="20"/>
          <w:color w:val="auto"/>
        </w:rPr>
      </w:pPr>
    </w:p>
    <w:p>
      <w:pPr>
        <w:ind w:left="240" w:right="20" w:firstLine="438"/>
        <w:spacing w:after="0" w:line="268" w:lineRule="auto"/>
        <w:rPr>
          <w:sz w:val="20"/>
          <w:szCs w:val="20"/>
          <w:color w:val="auto"/>
        </w:rPr>
      </w:pPr>
      <w:r>
        <w:rPr>
          <w:rFonts w:ascii="Arial" w:cs="Arial" w:eastAsia="Arial" w:hAnsi="Arial"/>
          <w:sz w:val="17"/>
          <w:szCs w:val="17"/>
          <w:color w:val="auto"/>
        </w:rPr>
        <w:t>We collect, store and process certain personal and other sensitive data from our users and clients, which makes us a potentially vulnerable target to cyber-attacks, computer viruses, physical or electronic break-ins or similar disruptions. While we have taken steps to protect the confidential information that we have access to, our security measures could be breached. Because the techniques used to sabotage or obtain unauthorized access to systems change frequently and generally are not recognized until they are launched against a target, we may not be able to anticipate these techniques or implement adequate preventative measures. Any accidental or willful security breaches or other unauthorized access to our system could cause confidential user and client information to be stolen and used for criminal purposes. Security breaches or unauthorized access to confidential information could also expose us to liability related to the loss of the information, time-consuming and expensive litigation and negative publicity. If security measures are breached because of third-party action, employee error, malfeasance or otherwise, or if design flaws in our technology infrastructure are exposed and exploited, our relationships with users and clients could be severely damaged, we could incur significant liability and our business and operations could be adversely affected.</w:t>
      </w:r>
    </w:p>
    <w:p>
      <w:pPr>
        <w:spacing w:after="0" w:line="180" w:lineRule="exact"/>
        <w:rPr>
          <w:sz w:val="20"/>
          <w:szCs w:val="20"/>
          <w:color w:val="auto"/>
        </w:rPr>
      </w:pPr>
    </w:p>
    <w:p>
      <w:pPr>
        <w:ind w:left="240" w:firstLine="438"/>
        <w:spacing w:after="0" w:line="284" w:lineRule="auto"/>
        <w:rPr>
          <w:sz w:val="20"/>
          <w:szCs w:val="20"/>
          <w:color w:val="auto"/>
        </w:rPr>
      </w:pPr>
      <w:r>
        <w:rPr>
          <w:rFonts w:ascii="Arial" w:cs="Arial" w:eastAsia="Arial" w:hAnsi="Arial"/>
          <w:sz w:val="16"/>
          <w:szCs w:val="16"/>
          <w:color w:val="auto"/>
        </w:rPr>
        <w:t>We are subject to governmental regulation and other legal obligations related to the protection of personal data, privacy and information security in the regions where we do business, and there has been and may continue to be a significant increase in such laws that restrict or control the use of personal data. See “Regulations—Overview of the Laws and Regulations Relating to Our Business and Operations in China—Regulations on Cybersecurity and Privacy.” In China, the Cyber Security Law became effective in June 2017 and requires network operators to follow the principles of legitimacy in collecting and using personal information. In addition, the Personal Information Security Specification, or China Specification, came into force on May 1, 2018. Although the China Specification is not a mandatory regulation, it nonetheless has a key implementing role in relation to China’s Cyber Security Law in respect to protecting personal information in China. Furthermore, it is likely that the China Specification will be relied on by Chinese government agencies as a standard to determine whether businesses have abided by China’s data protection rules. Furthermore, under the China Specification, the data controller must provide the purpose of collecting and using subject personal information, as well as the business functions of such purpose, and the China Specification requires the data controller to distinguish its core function from additional functions to ensure the data controller will only collect personal information as needed. Similarly, Hong Kong also has its data privacy legislation that regulates the collection, use and handling of personal data. Under the relevant legislation, data users are required to comply with various data protection principles in relation to the requirement of lawful and fair collection of personal data, consent of data subjects, retention of personal data, use and disclosure of personal data, security of personal data, personal data policies and practices, and rights to access and correction of personal data.</w:t>
      </w:r>
    </w:p>
    <w:p>
      <w:pPr>
        <w:spacing w:after="0" w:line="175"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There are uncertainties as to the interpretation and application of laws in one jurisdiction which may be interpreted and applied in a manner inconsistent to another jurisdiction and may conflict with our current policies and practices or require changes to the features of our system. We cannot assure that our existing user information protection system and technical measures will be considered sufficient under applicable laws and regulations. If we are unable to address any information protection concerns, any compromise of security that results unauthorized disclosure or transfer of personal data, or to comply with the then applicable laws and regulations, we may incur additional costs and liability and result in governmental enforcement actions, litigation, fines and penalties or adverse publicity and could cause our users and clients to lose trust in us, which could have a material adverse effect on our business, results of operations, financial condition and prospects. We</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7"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75" w:lineRule="auto"/>
        <w:rPr>
          <w:sz w:val="20"/>
          <w:szCs w:val="20"/>
          <w:color w:val="auto"/>
        </w:rPr>
      </w:pPr>
      <w:r>
        <w:rPr>
          <w:rFonts w:ascii="Arial" w:cs="Arial" w:eastAsia="Arial" w:hAnsi="Arial"/>
          <w:sz w:val="18"/>
          <w:szCs w:val="18"/>
          <w:color w:val="auto"/>
        </w:rPr>
        <w:t>may also be subject to new laws, regulations or standards or new interpretations of existing laws, regulations or standards, including those in the areas of data security and data privacy, which could require us to incur additional costs and restrict our business operations.</w:t>
      </w:r>
    </w:p>
    <w:p>
      <w:pPr>
        <w:spacing w:after="0" w:line="278" w:lineRule="exact"/>
        <w:rPr>
          <w:sz w:val="20"/>
          <w:szCs w:val="20"/>
          <w:color w:val="auto"/>
        </w:rPr>
      </w:pPr>
    </w:p>
    <w:p>
      <w:pPr>
        <w:ind w:left="240" w:right="480"/>
        <w:spacing w:after="0" w:line="275" w:lineRule="auto"/>
        <w:rPr>
          <w:sz w:val="20"/>
          <w:szCs w:val="20"/>
          <w:color w:val="auto"/>
        </w:rPr>
      </w:pPr>
      <w:r>
        <w:rPr>
          <w:rFonts w:ascii="Arial" w:cs="Arial" w:eastAsia="Arial" w:hAnsi="Arial"/>
          <w:sz w:val="18"/>
          <w:szCs w:val="18"/>
          <w:b w:val="1"/>
          <w:bCs w:val="1"/>
          <w:i w:val="1"/>
          <w:iCs w:val="1"/>
          <w:color w:val="auto"/>
        </w:rPr>
        <w:t>We have not obtained certain relevant licenses from PRC authorities in connection with some of the information and services available on our platform.</w:t>
      </w:r>
    </w:p>
    <w:p>
      <w:pPr>
        <w:spacing w:after="0" w:line="291" w:lineRule="exact"/>
        <w:rPr>
          <w:sz w:val="20"/>
          <w:szCs w:val="20"/>
          <w:color w:val="auto"/>
        </w:rPr>
      </w:pPr>
    </w:p>
    <w:p>
      <w:pPr>
        <w:ind w:left="240" w:right="40" w:firstLine="438"/>
        <w:spacing w:after="0" w:line="286" w:lineRule="auto"/>
        <w:rPr>
          <w:sz w:val="20"/>
          <w:szCs w:val="20"/>
          <w:color w:val="auto"/>
        </w:rPr>
      </w:pPr>
      <w:r>
        <w:rPr>
          <w:rFonts w:ascii="Arial" w:cs="Arial" w:eastAsia="Arial" w:hAnsi="Arial"/>
          <w:sz w:val="16"/>
          <w:szCs w:val="16"/>
          <w:color w:val="auto"/>
        </w:rPr>
        <w:t>PRC regulations impose sanctions for engaging in disseminating analysis, forecasting, advisory or other information related to securities and securities markets without having obtained the Securities Investment Consultancy Qualifications in China. See “Regulation—Overview of the Laws and Regulations Relating to Our Business and Operations in China—Regulations on the Securities Investment Consulting Service.” We have not obtained the Securities Investment Consultancy Qualifications in China. Without the required qualifications, we should refrain from as well as explicitly prohibit our users from sharing information related to securities analysis, forecasting or advisory on our platform. However, we cannot assure you that our users will not post articles or share videos that contain analysis, forecasting or advisory content related to securities on our platform. If any of the information or content displayed on our platform is deemed as analysis, forecasting, advisory or other information related to securities or securities markets, or any of our business in the PRC is deemed to be a service providing such information, we may be subject to regulatory measures including warnings, public condemnation, suspension of relevant business and other measures in accordance with applicable laws and regulations. Any such penalties may disrupt our business operations or materially and adversely affect our business, financial condition and results of operations.</w:t>
      </w:r>
    </w:p>
    <w:p>
      <w:pPr>
        <w:spacing w:after="0" w:line="171"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color w:val="auto"/>
        </w:rPr>
        <w:t xml:space="preserve">In addition, as part of our services, we allow users who register to be hosts to upload and share videos, in our NiuNiu Classroom, a video-based investor education program that offers basics on the Hong Kong and the U.S. securities markets. According to the PRC Administrative Provisions on Internet Audio-Video Program Services, the provider of audio-video service, such as </w:t>
      </w:r>
      <w:r>
        <w:rPr>
          <w:rFonts w:ascii="Arial" w:cs="Arial" w:eastAsia="Arial" w:hAnsi="Arial"/>
          <w:sz w:val="17"/>
          <w:szCs w:val="17"/>
          <w:i w:val="1"/>
          <w:iCs w:val="1"/>
          <w:color w:val="auto"/>
        </w:rPr>
        <w:t>NiuNiu Classroom</w:t>
      </w:r>
      <w:r>
        <w:rPr>
          <w:rFonts w:ascii="Arial" w:cs="Arial" w:eastAsia="Arial" w:hAnsi="Arial"/>
          <w:sz w:val="17"/>
          <w:szCs w:val="17"/>
          <w:color w:val="auto"/>
        </w:rPr>
        <w:t>, is required to obtain the Audio and Video Service Permission. See “Regulation—Overview of the Laws and Regulations Relating to Our Business and Operations in China—Regulation on Internet Audio-Visual Program Services.” We have not obtained such license for providing internet audio-video program services through our platform in China and may not be able to obtain such license in a timely manner, or at all. We have not received any notices nor have we been subject to regulatory measures from the State Administration of Press, Publication, Radio, Film and Television as of the date of this prospectus. However, if we are required to obtain an Audio and Video Service Permission or other additional licenses or approvals in connection with our video-based services in China, we may be subject to various penalties, such as confiscation of the net revenues that were generated through the unlicensed internet activities, imposition of fines and termination or restriction of such service offering.</w:t>
      </w:r>
    </w:p>
    <w:p>
      <w:pPr>
        <w:spacing w:after="0" w:line="180" w:lineRule="exact"/>
        <w:rPr>
          <w:sz w:val="20"/>
          <w:szCs w:val="20"/>
          <w:color w:val="auto"/>
        </w:rPr>
      </w:pPr>
    </w:p>
    <w:p>
      <w:pPr>
        <w:ind w:left="240" w:right="120" w:firstLine="438"/>
        <w:spacing w:after="0" w:line="274" w:lineRule="auto"/>
        <w:rPr>
          <w:sz w:val="20"/>
          <w:szCs w:val="20"/>
          <w:color w:val="auto"/>
        </w:rPr>
      </w:pPr>
      <w:r>
        <w:rPr>
          <w:rFonts w:ascii="Arial" w:cs="Arial" w:eastAsia="Arial" w:hAnsi="Arial"/>
          <w:sz w:val="17"/>
          <w:szCs w:val="17"/>
          <w:color w:val="auto"/>
        </w:rPr>
        <w:t>Furthermore, PRC regulations require platforms that disseminate internet news and information services to obtain the License for Internet News Information Services. See “Regulation—Overview of the Laws and Regulations Relating to Our Business and Operations in China—Regulation on Internet News Dissemination.” We have not obtained such license and may not be able to obtain such license in a timely manner, or at all. As our platform displays news and information related to the financial market, we may be deemed as engaging in disseminating news and information through the internet and subject to penalties including imposition of fines and termination or restriction of such service offering.</w:t>
      </w:r>
    </w:p>
    <w:p>
      <w:pPr>
        <w:spacing w:after="0" w:line="173" w:lineRule="exact"/>
        <w:rPr>
          <w:sz w:val="20"/>
          <w:szCs w:val="20"/>
          <w:color w:val="auto"/>
        </w:rPr>
      </w:pPr>
    </w:p>
    <w:p>
      <w:pPr>
        <w:ind w:left="240" w:firstLine="438"/>
        <w:spacing w:after="0" w:line="274" w:lineRule="auto"/>
        <w:rPr>
          <w:sz w:val="20"/>
          <w:szCs w:val="20"/>
          <w:color w:val="auto"/>
        </w:rPr>
      </w:pPr>
      <w:r>
        <w:rPr>
          <w:rFonts w:ascii="Arial" w:cs="Arial" w:eastAsia="Arial" w:hAnsi="Arial"/>
          <w:sz w:val="17"/>
          <w:szCs w:val="17"/>
          <w:color w:val="auto"/>
        </w:rPr>
        <w:t>PRC laws and regulations are evolving, and there are uncertainties relating to the regulation of different aspects of the services we provide through our platforms in China. We cannot assure you that we will not be found in violation of any future laws and regulations or any of the laws and regulations currently in effect due to changes in or discrepancies with respect to the relevant authorities’ interpretation of these laws and regulations. In addition, we may be required to obtain additional license or approvals, and we cannot assure you that we will be able to timely obtain or maintain all the required licenses or approvals or make all the necessary filings in the future.</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7"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misconduct could expose us to significant legal liability and reputational harm.</w:t>
      </w:r>
    </w:p>
    <w:p>
      <w:pPr>
        <w:spacing w:after="0" w:line="115" w:lineRule="exact"/>
        <w:rPr>
          <w:sz w:val="20"/>
          <w:szCs w:val="20"/>
          <w:color w:val="auto"/>
        </w:rPr>
      </w:pPr>
    </w:p>
    <w:p>
      <w:pPr>
        <w:ind w:left="240" w:right="20" w:firstLine="438"/>
        <w:spacing w:after="0" w:line="275" w:lineRule="auto"/>
        <w:rPr>
          <w:sz w:val="20"/>
          <w:szCs w:val="20"/>
          <w:color w:val="auto"/>
        </w:rPr>
      </w:pPr>
      <w:r>
        <w:rPr>
          <w:rFonts w:ascii="Arial" w:cs="Arial" w:eastAsia="Arial" w:hAnsi="Arial"/>
          <w:sz w:val="18"/>
          <w:szCs w:val="18"/>
          <w:color w:val="auto"/>
        </w:rPr>
        <w:t>We operate in an industry in which integrity and the confidence of our users and clients are of critical importance. During our daily operations, we are subject to the risks of errors and misconduct by our employees, which include:</w:t>
      </w:r>
    </w:p>
    <w:p>
      <w:pPr>
        <w:spacing w:after="0" w:line="76" w:lineRule="exact"/>
        <w:rPr>
          <w:sz w:val="20"/>
          <w:szCs w:val="20"/>
          <w:color w:val="auto"/>
        </w:rPr>
      </w:pPr>
    </w:p>
    <w:p>
      <w:pPr>
        <w:ind w:left="1100" w:right="500" w:hanging="327"/>
        <w:spacing w:after="0" w:line="275"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misrepresentation or fraudulent activities when marketing or performing online brokerage and other services to users and clients;</w:t>
      </w:r>
    </w:p>
    <w:p>
      <w:pPr>
        <w:spacing w:after="0" w:line="76" w:lineRule="exact"/>
        <w:rPr>
          <w:rFonts w:ascii="Arial" w:cs="Arial" w:eastAsia="Arial" w:hAnsi="Arial"/>
          <w:sz w:val="18"/>
          <w:szCs w:val="18"/>
          <w:color w:val="auto"/>
        </w:rPr>
      </w:pPr>
    </w:p>
    <w:p>
      <w:pPr>
        <w:ind w:left="1100" w:hanging="327"/>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improperly using or disclosing confidential information of our users and clients or other parties;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concealing unauthorized or unsuccessful activities; or</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not complying with applicable laws and regulations or our internal policies or procedures.</w:t>
      </w:r>
    </w:p>
    <w:p>
      <w:pPr>
        <w:spacing w:after="0" w:line="223" w:lineRule="exact"/>
        <w:rPr>
          <w:sz w:val="20"/>
          <w:szCs w:val="20"/>
          <w:color w:val="auto"/>
        </w:rPr>
      </w:pPr>
    </w:p>
    <w:p>
      <w:pPr>
        <w:ind w:left="240" w:firstLine="438"/>
        <w:spacing w:after="0" w:line="267" w:lineRule="auto"/>
        <w:rPr>
          <w:sz w:val="20"/>
          <w:szCs w:val="20"/>
          <w:color w:val="auto"/>
        </w:rPr>
      </w:pPr>
      <w:r>
        <w:rPr>
          <w:rFonts w:ascii="Arial" w:cs="Arial" w:eastAsia="Arial" w:hAnsi="Arial"/>
          <w:sz w:val="17"/>
          <w:szCs w:val="17"/>
          <w:color w:val="auto"/>
        </w:rPr>
        <w:t>If any of our employees engages in illegal or suspicious activities or other misconduct, we could suffer serious harm to our reputation, financial condition, client relationships and ability to attract new clients and even be subject to regulatory sanctions and significant legal liability. For example, a current employee of ours was previously investigated and imposed a regulatory sanction by the HK SFC due to certain misconduct in violation of regulatory rules that he committed when he worked for his former employer. Although such incident occurred before the employee joined our company and is unrelated to us, the sanction was imposed against such employee during his employment with us and his ability to perform certain regulated functions at his current employment with us was temporary impaired due to the sanction. We may also be subject to negative publicity from the sanction that would adversely affect our brand, public image and reputation, as well as potential challenges, suspicions, investigations or alleged claims against us. It is not always possible to deter misconduct by our employees or senior management during the ongoing operations of our business or uncover any misconduct occurred in their past employment, and the precautions we take to detect and prevent any misconduct may not always be effective. Misconduct by our employees, or even unsubstantiated allegations of misconduct, could result in a material adverse effect on our reputation and our business.</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had incurred net losses in the past, and we may continue to incur losses in the future.</w:t>
      </w:r>
    </w:p>
    <w:p>
      <w:pPr>
        <w:spacing w:after="0" w:line="115" w:lineRule="exact"/>
        <w:rPr>
          <w:sz w:val="20"/>
          <w:szCs w:val="20"/>
          <w:color w:val="auto"/>
        </w:rPr>
      </w:pPr>
    </w:p>
    <w:p>
      <w:pPr>
        <w:ind w:left="240" w:right="40" w:firstLine="438"/>
        <w:spacing w:after="0" w:line="286" w:lineRule="auto"/>
        <w:rPr>
          <w:sz w:val="20"/>
          <w:szCs w:val="20"/>
          <w:color w:val="auto"/>
        </w:rPr>
      </w:pPr>
      <w:r>
        <w:rPr>
          <w:rFonts w:ascii="Arial" w:cs="Arial" w:eastAsia="Arial" w:hAnsi="Arial"/>
          <w:sz w:val="16"/>
          <w:szCs w:val="16"/>
          <w:color w:val="auto"/>
        </w:rPr>
        <w:t>We had incurred net losses since our inception. In 2016 and 2017, we had net losses of HK$98.5 million and HK$8.1 million (US$1.0 million). Although we have become profitable since 2018, we cannot assure you that we continue to be profitable in the future. We anticipate that our operating costs and expenses will increase in the foreseeable future as we continue to grow our business, attract users and clients, further enhance and develop our service offerings, enhance our technology capabilities and increase our brand recognition. These efforts may prove more costly than we currently anticipate, and we may not succeed in increasing our revenues sufficiently to offset these higher expenses. There are other external and internal factors that could negatively affect our financial condition. For example, the trading volume achieved on our platform may be lower than expected, which may lead to lower than expected revenues. Furthermore, we have adopted a share incentive plan in the past and may adopt new share incentive plans in the future, which have caused, and will result in, significant share-based compensation expenses to us. We generate a substantial majority of our total revenues from commission fees charged to clients who trade on our platform. Any material decrease in our commission fees would have a substantial impact on our financial conditions. As a result of the foregoing and other factors, we may continue to incur net losses in the future.</w:t>
      </w:r>
    </w:p>
    <w:p>
      <w:pPr>
        <w:spacing w:after="0" w:line="278" w:lineRule="exact"/>
        <w:rPr>
          <w:sz w:val="20"/>
          <w:szCs w:val="20"/>
          <w:color w:val="auto"/>
        </w:rPr>
      </w:pPr>
    </w:p>
    <w:p>
      <w:pPr>
        <w:ind w:left="240" w:right="260"/>
        <w:spacing w:after="0" w:line="275" w:lineRule="auto"/>
        <w:rPr>
          <w:sz w:val="20"/>
          <w:szCs w:val="20"/>
          <w:color w:val="auto"/>
        </w:rPr>
      </w:pPr>
      <w:r>
        <w:rPr>
          <w:rFonts w:ascii="Arial" w:cs="Arial" w:eastAsia="Arial" w:hAnsi="Arial"/>
          <w:sz w:val="18"/>
          <w:szCs w:val="18"/>
          <w:b w:val="1"/>
          <w:bCs w:val="1"/>
          <w:i w:val="1"/>
          <w:iCs w:val="1"/>
          <w:color w:val="auto"/>
        </w:rPr>
        <w:t>If there is any negative publicity with respect to us, our industry peers or our industries in general, our business and results of operations may be materially and adversely affected.</w:t>
      </w:r>
    </w:p>
    <w:p>
      <w:pPr>
        <w:spacing w:after="0" w:line="63" w:lineRule="exact"/>
        <w:rPr>
          <w:sz w:val="20"/>
          <w:szCs w:val="20"/>
          <w:color w:val="auto"/>
        </w:rPr>
      </w:pPr>
    </w:p>
    <w:p>
      <w:pPr>
        <w:ind w:left="240" w:right="80" w:firstLine="438"/>
        <w:spacing w:after="0" w:line="309" w:lineRule="auto"/>
        <w:rPr>
          <w:sz w:val="20"/>
          <w:szCs w:val="20"/>
          <w:color w:val="auto"/>
        </w:rPr>
      </w:pPr>
      <w:r>
        <w:rPr>
          <w:rFonts w:ascii="Arial" w:cs="Arial" w:eastAsia="Arial" w:hAnsi="Arial"/>
          <w:sz w:val="16"/>
          <w:szCs w:val="16"/>
          <w:color w:val="auto"/>
        </w:rPr>
        <w:t>Our reputation and brand recognition plays an important role in earning and maintaining the trust and confidence of high net worth individuals or enterprises that are current or potential users and clients. Our reputation and brand is vulnerable to many threats that can be difficult or impossible to control, and costly or impossible to remediate. Regulatory inquiries or investigations, lawsuits initiated by clients or other third parties,</w:t>
      </w:r>
    </w:p>
    <w:p>
      <w:pPr>
        <w:spacing w:after="0" w:line="8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240" w:top="457"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53" w:lineRule="auto"/>
        <w:rPr>
          <w:sz w:val="20"/>
          <w:szCs w:val="20"/>
          <w:color w:val="auto"/>
        </w:rPr>
      </w:pPr>
      <w:r>
        <w:rPr>
          <w:rFonts w:ascii="Arial" w:cs="Arial" w:eastAsia="Arial" w:hAnsi="Arial"/>
          <w:sz w:val="18"/>
          <w:szCs w:val="18"/>
          <w:color w:val="auto"/>
        </w:rPr>
        <w:t>employee misconduct, perceptions of conflicts of interest and rumors, among other things, could substantially damage our reputation, even if they are baseless or satisfactorily addressed. In addition, any perception that the quality of our online brokerage and other financial services may not be the same as or better than that of other online brokerage and financial service firms can also damage our reputation. Moreover, any negative media publicity about the financial service industry in general or product or service quality problems of other firms in the industry, including our competitors, may also negatively impact our reputation and brand. If we are unable to maintain a good reputation or further enhance our brand recognition, our ability to attract and retain users, clients, third-party partners and key employees could be harmed and, as a result, our business and revenues would be materially and adversely affected.</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succeed in promoting and sustaining our brand, which could have an adverse effect on our future growth and business.</w:t>
      </w:r>
    </w:p>
    <w:p>
      <w:pPr>
        <w:spacing w:after="0" w:line="127" w:lineRule="exact"/>
        <w:rPr>
          <w:sz w:val="20"/>
          <w:szCs w:val="20"/>
          <w:color w:val="auto"/>
        </w:rPr>
      </w:pPr>
    </w:p>
    <w:p>
      <w:pPr>
        <w:ind w:left="240" w:right="20" w:firstLine="438"/>
        <w:spacing w:after="0" w:line="257" w:lineRule="auto"/>
        <w:rPr>
          <w:sz w:val="20"/>
          <w:szCs w:val="20"/>
          <w:color w:val="auto"/>
        </w:rPr>
      </w:pPr>
      <w:r>
        <w:rPr>
          <w:rFonts w:ascii="Arial" w:cs="Arial" w:eastAsia="Arial" w:hAnsi="Arial"/>
          <w:sz w:val="18"/>
          <w:szCs w:val="18"/>
          <w:color w:val="auto"/>
        </w:rPr>
        <w:t>A critical component of our future growth is our ability to promote and sustain our brand. Promoting and positioning our brand and platform will depend largely on the success of our marketing efforts, our ability to attract users and clients cost-efficiently and our ability to consistently provide high-quality services and a superior experience. We have incurred and will continue to incur significant expenses related to advertising and other marketing efforts, which may not be effective and may adversely affect our net margins.</w:t>
      </w:r>
    </w:p>
    <w:p>
      <w:pPr>
        <w:spacing w:after="0" w:line="188" w:lineRule="exact"/>
        <w:rPr>
          <w:sz w:val="20"/>
          <w:szCs w:val="20"/>
          <w:color w:val="auto"/>
        </w:rPr>
      </w:pPr>
    </w:p>
    <w:p>
      <w:pPr>
        <w:ind w:left="240" w:right="60" w:firstLine="438"/>
        <w:spacing w:after="0" w:line="272" w:lineRule="auto"/>
        <w:rPr>
          <w:sz w:val="20"/>
          <w:szCs w:val="20"/>
          <w:color w:val="auto"/>
        </w:rPr>
      </w:pPr>
      <w:r>
        <w:rPr>
          <w:rFonts w:ascii="Arial" w:cs="Arial" w:eastAsia="Arial" w:hAnsi="Arial"/>
          <w:sz w:val="17"/>
          <w:szCs w:val="17"/>
          <w:color w:val="auto"/>
        </w:rPr>
        <w:t>In addition, to provide a high-quality user and client experience, we have invested and will continue to invest substantial amounts of resources in the development and functionality of our platform, website, technology infrastructure and client service operations. Our ability to provide a high-quality user and client experience is also highly dependent on external factors over which we may have little or no control, including, without limitation, the reliability and performance of software vendors and business partners. Failure to provide our users and clients with high quality services and experience for any reason could substantially harm our reputation and adversely impact our efforts to develop a trusted brand, which could have a material adverse effect on our business, results of operations, financial condition and prospects.</w:t>
      </w:r>
    </w:p>
    <w:p>
      <w:pPr>
        <w:spacing w:after="0" w:line="282" w:lineRule="exact"/>
        <w:rPr>
          <w:sz w:val="20"/>
          <w:szCs w:val="20"/>
          <w:color w:val="auto"/>
        </w:rPr>
      </w:pPr>
    </w:p>
    <w:p>
      <w:pPr>
        <w:ind w:left="240"/>
        <w:spacing w:after="0" w:line="275" w:lineRule="auto"/>
        <w:rPr>
          <w:sz w:val="20"/>
          <w:szCs w:val="20"/>
          <w:color w:val="auto"/>
        </w:rPr>
      </w:pPr>
      <w:r>
        <w:rPr>
          <w:rFonts w:ascii="Arial" w:cs="Arial" w:eastAsia="Arial" w:hAnsi="Arial"/>
          <w:sz w:val="18"/>
          <w:szCs w:val="18"/>
          <w:b w:val="1"/>
          <w:bCs w:val="1"/>
          <w:i w:val="1"/>
          <w:iCs w:val="1"/>
          <w:color w:val="auto"/>
        </w:rPr>
        <w:t>Fraudulent or illegal activities on our platform could negatively impact our brand and reputation and cause the loss of users and clients. As a result, our business may be materially and adversely affected.</w:t>
      </w:r>
    </w:p>
    <w:p>
      <w:pPr>
        <w:spacing w:after="0" w:line="63" w:lineRule="exact"/>
        <w:rPr>
          <w:sz w:val="20"/>
          <w:szCs w:val="20"/>
          <w:color w:val="auto"/>
        </w:rPr>
      </w:pPr>
    </w:p>
    <w:p>
      <w:pPr>
        <w:ind w:left="240" w:right="100" w:firstLine="438"/>
        <w:spacing w:after="0" w:line="285" w:lineRule="auto"/>
        <w:rPr>
          <w:sz w:val="20"/>
          <w:szCs w:val="20"/>
          <w:color w:val="auto"/>
        </w:rPr>
      </w:pPr>
      <w:r>
        <w:rPr>
          <w:rFonts w:ascii="Arial" w:cs="Arial" w:eastAsia="Arial" w:hAnsi="Arial"/>
          <w:sz w:val="16"/>
          <w:szCs w:val="16"/>
          <w:color w:val="auto"/>
        </w:rPr>
        <w:t>We have implemented stringent internal control policies and anti-money laundering and other anti-fraud rules and mechanisms on our platform. Nevertheless, we remain subject to the risk of fraudulent activities both on our platform and associated with our users and clients, funding and other business partners, and third parties handling user and client information. Our resources, technologies and fraud detection tools may be insufficient to accurately detect and prevent fraud. Significant increases in fraudulent activity could negatively impact our brand and reputation, reduce the trading volume on our platform and therefore harm our operating and financial results. We might also incur higher costs than expected in order to take additional steps to reduce fraud risks. High-profile fraudulent activity could also lead to regulatory intervention, and may divert our management’s attention and cause us to incur additional regulatory and litigation expenses and costs. In addition, we could suffer serious harm to our reputation, financial condition, client relationships and ability to attract new clients and even be subject to regulatory sanctions and significant legal liability, if any of our employees engages in illegal or suspicious activities or other misconduct. See “—Employee misconduct could expose us to significant legal liability and reputational harm.” Although we have not experienced any material business or reputational harm as a result of fraudulent activities in the past, we cannot rule out the possibility that any of the foregoing may occur causing harm to our business or reputation in the future. If any of the foregoing were to occur, our results of operations and financial conditions could be materially and adversely affected.</w:t>
      </w:r>
    </w:p>
    <w:p>
      <w:pPr>
        <w:spacing w:after="0" w:line="278" w:lineRule="exact"/>
        <w:rPr>
          <w:sz w:val="20"/>
          <w:szCs w:val="20"/>
          <w:color w:val="auto"/>
        </w:rPr>
      </w:pPr>
    </w:p>
    <w:p>
      <w:pPr>
        <w:ind w:left="240" w:right="160"/>
        <w:spacing w:after="0" w:line="275" w:lineRule="auto"/>
        <w:rPr>
          <w:sz w:val="20"/>
          <w:szCs w:val="20"/>
          <w:color w:val="auto"/>
        </w:rPr>
      </w:pPr>
      <w:r>
        <w:rPr>
          <w:rFonts w:ascii="Arial" w:cs="Arial" w:eastAsia="Arial" w:hAnsi="Arial"/>
          <w:sz w:val="18"/>
          <w:szCs w:val="18"/>
          <w:b w:val="1"/>
          <w:bCs w:val="1"/>
          <w:i w:val="1"/>
          <w:iCs w:val="1"/>
          <w:color w:val="auto"/>
        </w:rPr>
        <w:t>Our platform and internal systems rely on software and technological infrastructure that is highly technical, and if they contain undetected errors, our business could be adversely affected.</w:t>
      </w:r>
    </w:p>
    <w:p>
      <w:pPr>
        <w:spacing w:after="0" w:line="63" w:lineRule="exact"/>
        <w:rPr>
          <w:sz w:val="20"/>
          <w:szCs w:val="20"/>
          <w:color w:val="auto"/>
        </w:rPr>
      </w:pPr>
    </w:p>
    <w:p>
      <w:pPr>
        <w:ind w:left="240" w:right="60" w:firstLine="438"/>
        <w:spacing w:after="0" w:line="275" w:lineRule="auto"/>
        <w:rPr>
          <w:sz w:val="20"/>
          <w:szCs w:val="20"/>
          <w:color w:val="auto"/>
        </w:rPr>
      </w:pPr>
      <w:r>
        <w:rPr>
          <w:rFonts w:ascii="Arial" w:cs="Arial" w:eastAsia="Arial" w:hAnsi="Arial"/>
          <w:sz w:val="18"/>
          <w:szCs w:val="18"/>
          <w:color w:val="auto"/>
        </w:rPr>
        <w:t>Our platform and internal systems rely on software that is highly technical and complex. In addition, our platform and internal systems depend on the ability of the software to store, retrieve, process and manage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7"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54" w:lineRule="auto"/>
        <w:rPr>
          <w:sz w:val="20"/>
          <w:szCs w:val="20"/>
          <w:color w:val="auto"/>
        </w:rPr>
      </w:pPr>
      <w:r>
        <w:rPr>
          <w:rFonts w:ascii="Arial" w:cs="Arial" w:eastAsia="Arial" w:hAnsi="Arial"/>
          <w:sz w:val="18"/>
          <w:szCs w:val="18"/>
          <w:color w:val="auto"/>
        </w:rPr>
        <w:t>immense amounts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a negative experience for users and financial service providers, delay introductions of new features or enhancements, result in errors or compromise our ability to protect data or our intellectual property. Any errors, bugs or defects discovered in the software on which we rely could result in harm to our reputation, loss of users or financial service providers or liability for damages, any of which could adversely affect our business, results of operations and financial conditions.</w:t>
      </w:r>
    </w:p>
    <w:p>
      <w:pPr>
        <w:spacing w:after="0" w:line="297" w:lineRule="exact"/>
        <w:rPr>
          <w:sz w:val="20"/>
          <w:szCs w:val="20"/>
          <w:color w:val="auto"/>
        </w:rPr>
      </w:pPr>
    </w:p>
    <w:p>
      <w:pPr>
        <w:ind w:left="240" w:right="360"/>
        <w:spacing w:after="0" w:line="275" w:lineRule="auto"/>
        <w:rPr>
          <w:sz w:val="20"/>
          <w:szCs w:val="20"/>
          <w:color w:val="auto"/>
        </w:rPr>
      </w:pPr>
      <w:r>
        <w:rPr>
          <w:rFonts w:ascii="Arial" w:cs="Arial" w:eastAsia="Arial" w:hAnsi="Arial"/>
          <w:sz w:val="18"/>
          <w:szCs w:val="18"/>
          <w:b w:val="1"/>
          <w:bCs w:val="1"/>
          <w:i w:val="1"/>
          <w:iCs w:val="1"/>
          <w:color w:val="auto"/>
        </w:rPr>
        <w:t>A significant decrease in our liquidity could negatively affect our business and financial management as well as reduce client confidence in our company.</w:t>
      </w:r>
    </w:p>
    <w:p>
      <w:pPr>
        <w:spacing w:after="0" w:line="63" w:lineRule="exact"/>
        <w:rPr>
          <w:sz w:val="20"/>
          <w:szCs w:val="20"/>
          <w:color w:val="auto"/>
        </w:rPr>
      </w:pPr>
    </w:p>
    <w:p>
      <w:pPr>
        <w:ind w:left="240" w:right="120" w:firstLine="438"/>
        <w:spacing w:after="0" w:line="274" w:lineRule="auto"/>
        <w:rPr>
          <w:sz w:val="20"/>
          <w:szCs w:val="20"/>
          <w:color w:val="auto"/>
        </w:rPr>
      </w:pPr>
      <w:r>
        <w:rPr>
          <w:rFonts w:ascii="Arial" w:cs="Arial" w:eastAsia="Arial" w:hAnsi="Arial"/>
          <w:sz w:val="17"/>
          <w:szCs w:val="17"/>
          <w:color w:val="auto"/>
        </w:rPr>
        <w:t>Maintaining adequate liquidity is crucial to our business operations. We meet our liquidity needs primarily through cash generated by client trading activities and operating earnings, as well as cash provided by external financing. Fluctuations in client cash or deposit balances, as well as changes in regulatory treatment of client deposits or market conditions, may affect our ability to meet our liquidity needs. A reduction in our liquidity position could reduce our users’ and clients’ confidence, which could result in the loss of client trading accounts, or could cause us to fail to satisfy our liquidity requirements. In addition, if we fail to meet regulatory capital guidelines, regulators could limit our operations.</w:t>
      </w:r>
    </w:p>
    <w:p>
      <w:pPr>
        <w:spacing w:after="0" w:line="173" w:lineRule="exact"/>
        <w:rPr>
          <w:sz w:val="20"/>
          <w:szCs w:val="20"/>
          <w:color w:val="auto"/>
        </w:rPr>
      </w:pPr>
    </w:p>
    <w:p>
      <w:pPr>
        <w:ind w:left="240" w:right="100" w:firstLine="438"/>
        <w:spacing w:after="0" w:line="277" w:lineRule="auto"/>
        <w:rPr>
          <w:sz w:val="20"/>
          <w:szCs w:val="20"/>
          <w:color w:val="auto"/>
        </w:rPr>
      </w:pPr>
      <w:r>
        <w:rPr>
          <w:rFonts w:ascii="Arial" w:cs="Arial" w:eastAsia="Arial" w:hAnsi="Arial"/>
          <w:sz w:val="17"/>
          <w:szCs w:val="17"/>
          <w:color w:val="auto"/>
        </w:rPr>
        <w:t>Factors which may adversely affect our liquidity position include having temporary liquidity demands due to timing differences between brokerage transaction settlements and the availability of segregated cash balances, unanticipated outflows of company cash, fluctuations in cash held in banking or brokerage client trading accounts, a dramatic increase in clients’ margin-financing activities, increased capital requirements, changes in regulatory guidance or interpretations, other regulatory changes, or a loss of market or client confidence.</w:t>
      </w:r>
    </w:p>
    <w:p>
      <w:pPr>
        <w:spacing w:after="0" w:line="172" w:lineRule="exact"/>
        <w:rPr>
          <w:sz w:val="20"/>
          <w:szCs w:val="20"/>
          <w:color w:val="auto"/>
        </w:rPr>
      </w:pPr>
    </w:p>
    <w:p>
      <w:pPr>
        <w:ind w:left="240" w:right="100" w:firstLine="438"/>
        <w:spacing w:after="0" w:line="300" w:lineRule="auto"/>
        <w:rPr>
          <w:sz w:val="20"/>
          <w:szCs w:val="20"/>
          <w:color w:val="auto"/>
        </w:rPr>
      </w:pPr>
      <w:r>
        <w:rPr>
          <w:rFonts w:ascii="Arial" w:cs="Arial" w:eastAsia="Arial" w:hAnsi="Arial"/>
          <w:sz w:val="16"/>
          <w:szCs w:val="16"/>
          <w:color w:val="auto"/>
        </w:rPr>
        <w:t>If cash generated by client trading activities and operating earnings is not sufficient for our liquidity needs, we may be forced to seek external financing. During periods of disruptions in the credit and capital markets, potential sources of external financing could be reduced, and borrowing costs could increase. Financing may not be available on acceptable terms, or at all, due to market conditions or disruptions in the credit markets. If we experience any significant decrease in our liquidity, our business, financial condition and results of operations could be adversely impacted.</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significant change in clients’ cash allocations could negatively impact our net interest revenues and financial results.</w:t>
      </w:r>
    </w:p>
    <w:p>
      <w:pPr>
        <w:spacing w:after="0" w:line="115" w:lineRule="exact"/>
        <w:rPr>
          <w:sz w:val="20"/>
          <w:szCs w:val="20"/>
          <w:color w:val="auto"/>
        </w:rPr>
      </w:pPr>
    </w:p>
    <w:p>
      <w:pPr>
        <w:ind w:left="240" w:right="20" w:firstLine="438"/>
        <w:spacing w:after="0" w:line="255" w:lineRule="auto"/>
        <w:rPr>
          <w:sz w:val="20"/>
          <w:szCs w:val="20"/>
          <w:color w:val="auto"/>
        </w:rPr>
      </w:pPr>
      <w:r>
        <w:rPr>
          <w:rFonts w:ascii="Arial" w:cs="Arial" w:eastAsia="Arial" w:hAnsi="Arial"/>
          <w:sz w:val="18"/>
          <w:szCs w:val="18"/>
          <w:color w:val="auto"/>
        </w:rPr>
        <w:t>We derive interest income from depositing un-invested cash balances in our clients’ brokerage trading accounts opened with us at our bank partners. In 2016 and 2017, we generated HK$4.0 million and HK$34.1 million (US$4.4 million) interest income from bank deposit, respectively, a significant portion of which was derived from uninvested cash balances in our clients’ accounts. As a result, a significant reduction in our clients’ allocation to cash, a change in the allocation of that cash, or a transfer of cash out of their accounts on our platform could reduce our interest income and our financial results.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clearing operations expose us to liability for errors in clearing functions.</w:t>
      </w:r>
    </w:p>
    <w:p>
      <w:pPr>
        <w:spacing w:after="0" w:line="115"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Our HK SFC-licensed subsidiary, Futu Securities International (Hong Kong) Limited, or Futu International Hong Kong, provides clearing and execution services for our brokerage business involving securities listed on the Hong Kong Stock Exchange or qualified under the Hong Kong, Shanghai and Shenzhen Stock Connect. Clearing and execution services include the confirmation, receipt, settlement, delivery and record-keeping functions involved in securities transactions. Clearing brokers also assume direct responsibility for the possession or control of client securities and other assets and the clearing of client securities transactions. However, clearing brokers also must rely on third-party clearing organizations, such as Hong Kong’s Central Clearing and</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7"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60"/>
        <w:spacing w:after="0" w:line="277" w:lineRule="auto"/>
        <w:rPr>
          <w:sz w:val="20"/>
          <w:szCs w:val="20"/>
          <w:color w:val="auto"/>
        </w:rPr>
      </w:pPr>
      <w:r>
        <w:rPr>
          <w:rFonts w:ascii="Arial" w:cs="Arial" w:eastAsia="Arial" w:hAnsi="Arial"/>
          <w:sz w:val="17"/>
          <w:szCs w:val="17"/>
          <w:color w:val="auto"/>
        </w:rPr>
        <w:t>Settlement System, or CCASS, in settling client securities transactions. Clearing securities firms, such as Futu International Hong Kong, are subject to substantially more regulatory control and examination than introducing brokers who rely on others to perform clearing functions. Errors in performing clearing functions, including clerical and other errors related to the handling of funds and securities held by us on behalf of clients, could lead to regulatory fines and civil penalties as well as losses and liability in related legal proceedings brought by clients and others.</w:t>
      </w:r>
    </w:p>
    <w:p>
      <w:pPr>
        <w:spacing w:after="0" w:line="279" w:lineRule="exact"/>
        <w:rPr>
          <w:sz w:val="20"/>
          <w:szCs w:val="20"/>
          <w:color w:val="auto"/>
        </w:rPr>
      </w:pPr>
    </w:p>
    <w:p>
      <w:pPr>
        <w:ind w:left="240" w:right="60"/>
        <w:spacing w:after="0" w:line="284" w:lineRule="auto"/>
        <w:rPr>
          <w:sz w:val="20"/>
          <w:szCs w:val="20"/>
          <w:color w:val="auto"/>
        </w:rPr>
      </w:pPr>
      <w:r>
        <w:rPr>
          <w:rFonts w:ascii="Arial" w:cs="Arial" w:eastAsia="Arial" w:hAnsi="Arial"/>
          <w:sz w:val="17"/>
          <w:szCs w:val="17"/>
          <w:b w:val="1"/>
          <w:bCs w:val="1"/>
          <w:i w:val="1"/>
          <w:iCs w:val="1"/>
          <w:color w:val="auto"/>
        </w:rPr>
        <w:t>Our corporate actions will be substantially controlled by our founder, chairman and chief executive officer, Mr. Leaf Hua Li, who will have the ability to control or exert significant influence over important corporate matters that require approval of shareholders, which may deprive you of an opportunity to receive a premium for your ADSs and materially reduce the value of your investment.</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Immediately following this offering, Mr. Leaf Hua Li, our founder, chairman and chief executive officer, will beneficially own approximately</w:t>
      </w:r>
    </w:p>
    <w:p>
      <w:pPr>
        <w:spacing w:after="0" w:line="34" w:lineRule="exact"/>
        <w:rPr>
          <w:sz w:val="20"/>
          <w:szCs w:val="20"/>
          <w:color w:val="auto"/>
        </w:rPr>
      </w:pPr>
    </w:p>
    <w:p>
      <w:pPr>
        <w:ind w:left="240" w:firstLine="582"/>
        <w:spacing w:after="0" w:line="288" w:lineRule="auto"/>
        <w:rPr>
          <w:sz w:val="20"/>
          <w:szCs w:val="20"/>
          <w:color w:val="auto"/>
        </w:rPr>
      </w:pPr>
      <w:r>
        <w:rPr>
          <w:rFonts w:ascii="Arial" w:cs="Arial" w:eastAsia="Arial" w:hAnsi="Arial"/>
          <w:sz w:val="16"/>
          <w:szCs w:val="16"/>
          <w:color w:val="auto"/>
        </w:rPr>
        <w:t>of our outstanding shares or % of the total voting power of our outstanding shares assuming the underwriters do not exercise their option to purchase additional ADS. Accordingly, Mr. Li will have significant influence in determining the outcome of any corporate transaction or other matter submitted to the shareholders for approval, including mergers, consolidations and the sale of all or substantially all of our assets, election of directors and other significant corporate actions. This concentration of ownership may also discourage, delay or prevent a change in control of our company, which could deprive our shareholders of an opportunity to receive a premium for their shares as part of a sale of our company and might reduce the price of our ADSs. These actions may be taken even if they are opposed by our other shareholders, including those who purchase ADSs in this offering.</w:t>
      </w:r>
    </w:p>
    <w:p>
      <w:pPr>
        <w:spacing w:after="0" w:line="272" w:lineRule="exact"/>
        <w:rPr>
          <w:sz w:val="20"/>
          <w:szCs w:val="20"/>
          <w:color w:val="auto"/>
        </w:rPr>
      </w:pPr>
    </w:p>
    <w:p>
      <w:pPr>
        <w:ind w:left="240" w:right="200"/>
        <w:spacing w:after="0" w:line="305" w:lineRule="auto"/>
        <w:rPr>
          <w:sz w:val="20"/>
          <w:szCs w:val="20"/>
          <w:color w:val="auto"/>
        </w:rPr>
      </w:pPr>
      <w:r>
        <w:rPr>
          <w:rFonts w:ascii="Arial" w:cs="Arial" w:eastAsia="Arial" w:hAnsi="Arial"/>
          <w:sz w:val="17"/>
          <w:szCs w:val="17"/>
          <w:b w:val="1"/>
          <w:bCs w:val="1"/>
          <w:i w:val="1"/>
          <w:iCs w:val="1"/>
          <w:color w:val="auto"/>
        </w:rPr>
        <w:t>Our success depends on the continuing service of our key employees, including our senior management members and other talent, who are highly sought after in the market. If we fail to hire, retain and motivate our key employees, our business may suffer.</w:t>
      </w:r>
    </w:p>
    <w:p>
      <w:pPr>
        <w:spacing w:after="0" w:line="40" w:lineRule="exact"/>
        <w:rPr>
          <w:sz w:val="20"/>
          <w:szCs w:val="20"/>
          <w:color w:val="auto"/>
        </w:rPr>
      </w:pPr>
    </w:p>
    <w:p>
      <w:pPr>
        <w:ind w:left="240" w:right="180" w:firstLine="438"/>
        <w:spacing w:after="0" w:line="255" w:lineRule="auto"/>
        <w:rPr>
          <w:sz w:val="20"/>
          <w:szCs w:val="20"/>
          <w:color w:val="auto"/>
        </w:rPr>
      </w:pPr>
      <w:r>
        <w:rPr>
          <w:rFonts w:ascii="Arial" w:cs="Arial" w:eastAsia="Arial" w:hAnsi="Arial"/>
          <w:sz w:val="18"/>
          <w:szCs w:val="18"/>
          <w:color w:val="auto"/>
        </w:rPr>
        <w:t>Our key executives have substantial experience and have made significant contributions to our business, and our continued success is dependent upon the retention of our key management executives, as well as the services provided by our staff of trading system, technology and programming specialists and a number of other key managerial, marketing, planning, financial, technical and operations personnel. The loss of such key personnel could have a material adverse effect on our business. Growth in our business is dependent, to a large degree, on our ability to retain and attract such employees.</w:t>
      </w:r>
    </w:p>
    <w:p>
      <w:pPr>
        <w:spacing w:after="0" w:line="189" w:lineRule="exact"/>
        <w:rPr>
          <w:sz w:val="20"/>
          <w:szCs w:val="20"/>
          <w:color w:val="auto"/>
        </w:rPr>
      </w:pPr>
    </w:p>
    <w:p>
      <w:pPr>
        <w:ind w:left="240" w:right="60" w:firstLine="438"/>
        <w:spacing w:after="0" w:line="277" w:lineRule="auto"/>
        <w:rPr>
          <w:sz w:val="20"/>
          <w:szCs w:val="20"/>
          <w:color w:val="auto"/>
        </w:rPr>
      </w:pPr>
      <w:r>
        <w:rPr>
          <w:rFonts w:ascii="Arial" w:cs="Arial" w:eastAsia="Arial" w:hAnsi="Arial"/>
          <w:sz w:val="17"/>
          <w:szCs w:val="17"/>
          <w:color w:val="auto"/>
        </w:rPr>
        <w:t>Competition for well-qualified employees in all aspects of our business, including software engineers and other technology professionals, is intense globally. Our continued ability to compete effectively depends on our ability to attract new employees and to retain and motivate existing employees. If we do not succeed in attracting well-qualified employees or retaining and motivating existing employees and key senior management, our business, results of operations, financial condition and prospects may be adversely affected.</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growth may be affected by macroeconomic conditions.</w:t>
      </w:r>
    </w:p>
    <w:p>
      <w:pPr>
        <w:spacing w:after="0" w:line="115" w:lineRule="exact"/>
        <w:rPr>
          <w:sz w:val="20"/>
          <w:szCs w:val="20"/>
          <w:color w:val="auto"/>
        </w:rPr>
      </w:pPr>
    </w:p>
    <w:p>
      <w:pPr>
        <w:ind w:left="240" w:right="60" w:firstLine="438"/>
        <w:spacing w:after="0" w:line="300" w:lineRule="auto"/>
        <w:rPr>
          <w:sz w:val="20"/>
          <w:szCs w:val="20"/>
          <w:color w:val="auto"/>
        </w:rPr>
      </w:pPr>
      <w:r>
        <w:rPr>
          <w:rFonts w:ascii="Arial" w:cs="Arial" w:eastAsia="Arial" w:hAnsi="Arial"/>
          <w:sz w:val="16"/>
          <w:szCs w:val="16"/>
          <w:color w:val="auto"/>
        </w:rPr>
        <w:t>The strong growth of China’s offshore investment and wealth management markets in recent years has been mainly driven by the rapid expansion in personal investable assets attributable to the increased number of high net-worth individuals and affluent groups and their increasing demands for geographically diverse investment portfolios. However, slowdowns in the Chinese economy will affect the income growth of such individuals, who are the main investors in the investment and wealth management markets outside China, and add uncertainties to these markets.</w:t>
      </w:r>
    </w:p>
    <w:p>
      <w:pPr>
        <w:spacing w:after="0" w:line="154" w:lineRule="exact"/>
        <w:rPr>
          <w:sz w:val="20"/>
          <w:szCs w:val="20"/>
          <w:color w:val="auto"/>
        </w:rPr>
      </w:pPr>
    </w:p>
    <w:p>
      <w:pPr>
        <w:ind w:left="240" w:right="220" w:firstLine="438"/>
        <w:spacing w:after="0" w:line="262" w:lineRule="auto"/>
        <w:rPr>
          <w:sz w:val="20"/>
          <w:szCs w:val="20"/>
          <w:color w:val="auto"/>
        </w:rPr>
      </w:pPr>
      <w:r>
        <w:rPr>
          <w:rFonts w:ascii="Arial" w:cs="Arial" w:eastAsia="Arial" w:hAnsi="Arial"/>
          <w:sz w:val="18"/>
          <w:szCs w:val="18"/>
          <w:color w:val="auto"/>
        </w:rPr>
        <w:t>In addition, uncertainties about China and global economic conditions and regulatory changes pose a risk as retail investors and businesses may postpone spending in response to credit constraint, rising unemployment rates, financial market volatility, government austerity programs, negative financial news, declines in income or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7"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spacing w:after="0" w:line="292" w:lineRule="auto"/>
        <w:rPr>
          <w:sz w:val="20"/>
          <w:szCs w:val="20"/>
          <w:color w:val="auto"/>
        </w:rPr>
      </w:pPr>
      <w:r>
        <w:rPr>
          <w:rFonts w:ascii="Arial" w:cs="Arial" w:eastAsia="Arial" w:hAnsi="Arial"/>
          <w:sz w:val="16"/>
          <w:szCs w:val="16"/>
          <w:color w:val="auto"/>
        </w:rPr>
        <w:t>asset values and/or other factors. These worldwide and regional economic conditions could affect and reduce investment behavior and appetites of retail investors and have a material adverse effect on the demand for our products and services. Demand also could differ materially from our expectations as a result of currency fluctuations. Other factors that could influence worldwide or regional demand include changes in fuel and other energy costs, conditions in the real estate and mortgage markets, unemployment, labor and healthcare costs, access to credit, consumer confidence and other macroeconomic factors. These and other economic factors could materially and adversely affect demand for our products and services. Additionally, continued turbulence in the international markets may adversely affect our ability to access the capital markets to meet liquidity needs.</w:t>
      </w: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to protect our intellectual property could harm our business and competitive position.</w:t>
      </w:r>
    </w:p>
    <w:p>
      <w:pPr>
        <w:spacing w:after="0" w:line="115" w:lineRule="exact"/>
        <w:rPr>
          <w:sz w:val="20"/>
          <w:szCs w:val="20"/>
          <w:color w:val="auto"/>
        </w:rPr>
      </w:pPr>
    </w:p>
    <w:p>
      <w:pPr>
        <w:ind w:left="240" w:firstLine="438"/>
        <w:spacing w:after="0" w:line="287" w:lineRule="auto"/>
        <w:rPr>
          <w:sz w:val="20"/>
          <w:szCs w:val="20"/>
          <w:color w:val="auto"/>
        </w:rPr>
      </w:pPr>
      <w:r>
        <w:rPr>
          <w:rFonts w:ascii="Arial" w:cs="Arial" w:eastAsia="Arial" w:hAnsi="Arial"/>
          <w:sz w:val="16"/>
          <w:szCs w:val="16"/>
          <w:color w:val="auto"/>
        </w:rPr>
        <w:t>We rely primarily on trade secret, contract, copyright, trademark and patent law to protect our proprietary technology. It is possible that third parties may copy or otherwise obtain and use our proprietary technology without authorization or otherwise infringe on our rights. We may not be able to successfully pursue claims for infringement that interfere with our ability to use our technology, website or other relevant intellectual property or have adverse impact on our brand. We cannot assure you that any of our intellectual property rights would not be challenged, invalidated or circumvented, or such intellectual property will be sufficient to provide us with competitive advantages. In addition, other parties may misappropriate our intellectual property rights, which would cause us to suffer economic or reputational damages. Because of the rapid pace of technological change, nor can we assure you that all of our proprietary technologies and similar intellectual property will be patented in a timely or cost-effective manner, or at all. Furthermore, parts of our business rely on technologies developed or licensed by other parties, or co-developed with other parties, and we may not be able to obtain or continue to obtain licenses and technologies from these other parties on reasonable terms, or at all.</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may be subject to intellectual property infringement claims, which may be expensive to defend and disruptive to our business and operations.</w:t>
      </w:r>
    </w:p>
    <w:p>
      <w:pPr>
        <w:spacing w:after="0" w:line="150" w:lineRule="exact"/>
        <w:rPr>
          <w:sz w:val="20"/>
          <w:szCs w:val="20"/>
          <w:color w:val="auto"/>
        </w:rPr>
      </w:pPr>
    </w:p>
    <w:p>
      <w:pPr>
        <w:ind w:left="240" w:right="20" w:firstLine="438"/>
        <w:spacing w:after="0" w:line="287" w:lineRule="auto"/>
        <w:rPr>
          <w:sz w:val="20"/>
          <w:szCs w:val="20"/>
          <w:color w:val="auto"/>
        </w:rPr>
      </w:pPr>
      <w:r>
        <w:rPr>
          <w:rFonts w:ascii="Arial" w:cs="Arial" w:eastAsia="Arial" w:hAnsi="Arial"/>
          <w:sz w:val="16"/>
          <w:szCs w:val="16"/>
          <w:color w:val="auto"/>
        </w:rPr>
        <w:t>Content sourced from third parties is frequently posted on our platform by our employees and users and clients. Although we follow common content management and review practices to monitor the content uploaded to our platform, we may not be able to identify all content that may infringe on third-party rights. We cannot be certain that information posted on our platform and other aspects of our business do not or will not infringe upon or otherwise violate trademarks, copyrights, know-how, proprietary technologies or other intellectual property rights held by other parties. We may be from time to time in the future be subject to legal proceedings and claims relating to the intellectual property rights of others. In addition, there may be other parties’ trademarks, copyrights, know-how, proprietary technologies or other intellectual property rights that are infringed by our platform or services or other aspects of our business without our knowledge. Holders of such intellectual property rights may seek to enforce such intellectual property rights against us in China, Hong Kong, the United States or other jurisdictions. If any infringement claims are brought against us, we may be forced to divert management’s time and other resources from our business and operations to defend against these claims, regardless of their merits.</w:t>
      </w:r>
    </w:p>
    <w:p>
      <w:pPr>
        <w:spacing w:after="0" w:line="276" w:lineRule="exact"/>
        <w:rPr>
          <w:sz w:val="20"/>
          <w:szCs w:val="20"/>
          <w:color w:val="auto"/>
        </w:rPr>
      </w:pPr>
    </w:p>
    <w:p>
      <w:pPr>
        <w:ind w:left="240" w:right="180"/>
        <w:spacing w:after="0" w:line="275" w:lineRule="auto"/>
        <w:rPr>
          <w:sz w:val="20"/>
          <w:szCs w:val="20"/>
          <w:color w:val="auto"/>
        </w:rPr>
      </w:pPr>
      <w:r>
        <w:rPr>
          <w:rFonts w:ascii="Arial" w:cs="Arial" w:eastAsia="Arial" w:hAnsi="Arial"/>
          <w:sz w:val="18"/>
          <w:szCs w:val="18"/>
          <w:b w:val="1"/>
          <w:bCs w:val="1"/>
          <w:i w:val="1"/>
          <w:iCs w:val="1"/>
          <w:color w:val="auto"/>
        </w:rPr>
        <w:t>We may be held liable for information or content displayed on, retrieved from or linked to our platform, which may materially and adversely affect our business and operating results.</w:t>
      </w:r>
    </w:p>
    <w:p>
      <w:pPr>
        <w:spacing w:after="0" w:line="63" w:lineRule="exact"/>
        <w:rPr>
          <w:sz w:val="20"/>
          <w:szCs w:val="20"/>
          <w:color w:val="auto"/>
        </w:rPr>
      </w:pPr>
    </w:p>
    <w:p>
      <w:pPr>
        <w:ind w:left="240" w:right="40" w:firstLine="438"/>
        <w:spacing w:after="0" w:line="253" w:lineRule="auto"/>
        <w:rPr>
          <w:sz w:val="20"/>
          <w:szCs w:val="20"/>
          <w:color w:val="auto"/>
        </w:rPr>
      </w:pPr>
      <w:r>
        <w:rPr>
          <w:rFonts w:ascii="Arial" w:cs="Arial" w:eastAsia="Arial" w:hAnsi="Arial"/>
          <w:sz w:val="18"/>
          <w:szCs w:val="18"/>
          <w:color w:val="auto"/>
        </w:rPr>
        <w:t>The PRC government has adopted regulations governing internet access and distribution of information over the internet. Under these regulations, internet content providers and internet publishers are prohibited from posting or displaying over the internet content that, among other things, violates PRC laws and regulations, impairs public interest or the national dignity of China, contains terrorism, extremism, or content of force or brutality, or is reactionary, obscene, superstitious, fraudulent or defamatory. Failure to comply with these requirements may result in the revocation of licenses to provide internet content and other licenses, the closure of the concerned websites and criminal liabilities. In the past, failure to comply with these requirements has resulted in the closure of certain websites. The website operator may also be held liable for the censored information displayed on or linked to the website.</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7"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firstLine="438"/>
        <w:spacing w:after="0" w:line="292" w:lineRule="auto"/>
        <w:rPr>
          <w:sz w:val="20"/>
          <w:szCs w:val="20"/>
          <w:color w:val="auto"/>
        </w:rPr>
      </w:pPr>
      <w:r>
        <w:rPr>
          <w:rFonts w:ascii="Arial" w:cs="Arial" w:eastAsia="Arial" w:hAnsi="Arial"/>
          <w:sz w:val="16"/>
          <w:szCs w:val="16"/>
          <w:color w:val="auto"/>
        </w:rPr>
        <w:t>In particular, the Ministry of Industry and Information Technology has published regulations that subject website operators to potential liability for content displayed on their websites and the actions of users and others using their systems, including liability for violations of PRC laws and regulations prohibiting the dissemination of content deemed to be socially destabilizing. The Ministry of Public Security has the authority to order any local internet service provider to block any internet website at its sole discretion, or to stop the dissemination over the internet of information which it believes to be socially destabilizing. Furthermore, we are required to report any suspicious content to relevant governmental authorities, and to undergo computer security inspections. If it is found that we fail to implement the relevant safeguards against security breaches, our business in China may be shut down.</w:t>
      </w:r>
    </w:p>
    <w:p>
      <w:pPr>
        <w:spacing w:after="0" w:line="161"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color w:val="auto"/>
        </w:rPr>
        <w:t>According to the Administrative Provisions on Mobile Internet Applications Information Services which was promulgated by the Cyberspace Administration of China and became effective in August 2016, providers of mobile apps shall not create, copy, publish or distribute information and content through mobile applications that is prohibited by laws and regulations. We are required to adopt and implement management systems of information security and establish and improve procedures on content examination and administration. We must adopt such measures as warning, restricted release, suspension of updates and closing of accounts, keep relevant records, and report unlawful content to competent government authorities. We have implemented internal control procedures screening the information and content on our platform interface to ensure their compliance with these provisions. However, there can be no assurance that all of the information or content displayed on, retrieved from or linked to our mobile apps complies with the requirements of the provisions at all times. If our mobile apps are found to violate the provisions, we may be subject to penalties, including warning, service suspension or removal of our mobile apps from the relevant mobile app store, which may materially and adversely affect our business and operating results.</w:t>
      </w:r>
    </w:p>
    <w:p>
      <w:pPr>
        <w:spacing w:after="0" w:line="288" w:lineRule="exact"/>
        <w:rPr>
          <w:sz w:val="20"/>
          <w:szCs w:val="20"/>
          <w:color w:val="auto"/>
        </w:rPr>
      </w:pPr>
    </w:p>
    <w:p>
      <w:pPr>
        <w:ind w:left="240" w:right="20"/>
        <w:spacing w:after="0" w:line="275" w:lineRule="auto"/>
        <w:rPr>
          <w:sz w:val="20"/>
          <w:szCs w:val="20"/>
          <w:color w:val="auto"/>
        </w:rPr>
      </w:pPr>
      <w:r>
        <w:rPr>
          <w:rFonts w:ascii="Arial" w:cs="Arial" w:eastAsia="Arial" w:hAnsi="Arial"/>
          <w:sz w:val="18"/>
          <w:szCs w:val="18"/>
          <w:b w:val="1"/>
          <w:bCs w:val="1"/>
          <w:i w:val="1"/>
          <w:iCs w:val="1"/>
          <w:color w:val="auto"/>
        </w:rPr>
        <w:t>We may be subject to litigation and regulatory investigations and proceedings, and may not always be successful in defending ourselves against such claims or proceedings.</w:t>
      </w:r>
    </w:p>
    <w:p>
      <w:pPr>
        <w:spacing w:after="0" w:line="63" w:lineRule="exact"/>
        <w:rPr>
          <w:sz w:val="20"/>
          <w:szCs w:val="20"/>
          <w:color w:val="auto"/>
        </w:rPr>
      </w:pPr>
    </w:p>
    <w:p>
      <w:pPr>
        <w:ind w:left="240" w:firstLine="438"/>
        <w:spacing w:after="0" w:line="286" w:lineRule="auto"/>
        <w:rPr>
          <w:sz w:val="20"/>
          <w:szCs w:val="20"/>
          <w:color w:val="auto"/>
        </w:rPr>
      </w:pPr>
      <w:r>
        <w:rPr>
          <w:rFonts w:ascii="Arial" w:cs="Arial" w:eastAsia="Arial" w:hAnsi="Arial"/>
          <w:sz w:val="16"/>
          <w:szCs w:val="16"/>
          <w:color w:val="auto"/>
        </w:rPr>
        <w:t>We are subject to lawsuits and other claims in the ordinary course of our business. Our business operations entail substantial litigation and regulatory risks, including the risk of lawsuits and other legal actions relating to information disclosure, client on boarding procedures, sales practices, product design, fraud and misconduct, and control procedures deficiencies, as well as the protection of personal and confidential information of our clients. We may be subject to arbitration claims and lawsuits in the ordinary course of our business. We may also be subject to inquiries, inspections, investigations and proceedings by regulatory and other governmental agencies. See “—We are subject to extensive and evolving regulatory requirements in Hong Kong,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 In addition, we are involved in ongoing inquiries and investigations by the HK SFC” and “Business—Ongoing Regulatory Actions.” Actions brought against us may result in settlements, injunctions, fines, penalties, suspension or revocation of license, reprimands or other results adverse to us that could harm our reputation. Even if we are successful in defending ourselves against these actions, the costs of such defense may be significant to us. In market downturns, the number of legal claims and the amount of damages sought in legal proceedings may increase.</w:t>
      </w:r>
    </w:p>
    <w:p>
      <w:pPr>
        <w:spacing w:after="0" w:line="166" w:lineRule="exact"/>
        <w:rPr>
          <w:sz w:val="20"/>
          <w:szCs w:val="20"/>
          <w:color w:val="auto"/>
        </w:rPr>
      </w:pPr>
    </w:p>
    <w:p>
      <w:pPr>
        <w:ind w:left="240" w:right="120" w:firstLine="438"/>
        <w:spacing w:after="0" w:line="290" w:lineRule="auto"/>
        <w:rPr>
          <w:sz w:val="20"/>
          <w:szCs w:val="20"/>
          <w:color w:val="auto"/>
        </w:rPr>
      </w:pPr>
      <w:r>
        <w:rPr>
          <w:rFonts w:ascii="Arial" w:cs="Arial" w:eastAsia="Arial" w:hAnsi="Arial"/>
          <w:sz w:val="16"/>
          <w:szCs w:val="16"/>
          <w:color w:val="auto"/>
        </w:rPr>
        <w:t>In addition, we may face arbitration claims and lawsuits brought by our users and clients who have used our online brokerage or other financial services and found them unsatisfactory. We may also encounter complaints alleging misrepresentation with regard to our platform and/or services. This risk may be heightened during periods when credit, equity or other financial markets are deteriorating in value or are volatile, or when clients are experiencing losses. Actions brought against us may result in settlements, awards, injunctions, fines, penalties or other results adverse to us including harm to our reputation. Even if we are successful in defending against these actions, the defense of such matters may result in our incurring significant expenses. Predicting the outcome of such matters is inherently difficult, particularly where claimants seek substantial or unspecified damages, or when arbitration or legal proceedings are at an early stage. A significant judgement or regulatory</w:t>
      </w:r>
    </w:p>
    <w:p>
      <w:pPr>
        <w:spacing w:after="0" w:line="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7"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40"/>
        <w:spacing w:after="0" w:line="305" w:lineRule="auto"/>
        <w:rPr>
          <w:sz w:val="20"/>
          <w:szCs w:val="20"/>
          <w:color w:val="auto"/>
        </w:rPr>
      </w:pPr>
      <w:r>
        <w:rPr>
          <w:rFonts w:ascii="Arial" w:cs="Arial" w:eastAsia="Arial" w:hAnsi="Arial"/>
          <w:sz w:val="17"/>
          <w:szCs w:val="17"/>
          <w:color w:val="auto"/>
        </w:rPr>
        <w:t>action against us or a material disruption in our business arising from adverse adjudications in proceedings against the directors, officers or employees would have a material adverse effect on our liquidity, business, financial condition, results of operations and prospects.</w:t>
      </w:r>
    </w:p>
    <w:p>
      <w:pPr>
        <w:spacing w:after="0" w:line="255" w:lineRule="exact"/>
        <w:rPr>
          <w:sz w:val="20"/>
          <w:szCs w:val="20"/>
          <w:color w:val="auto"/>
        </w:rPr>
      </w:pPr>
    </w:p>
    <w:p>
      <w:pPr>
        <w:ind w:left="240" w:right="300"/>
        <w:spacing w:after="0" w:line="275"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identifying or mitigating risk exposure in all market environments or against all types of risks.</w:t>
      </w:r>
    </w:p>
    <w:p>
      <w:pPr>
        <w:spacing w:after="0" w:line="63" w:lineRule="exact"/>
        <w:rPr>
          <w:sz w:val="20"/>
          <w:szCs w:val="20"/>
          <w:color w:val="auto"/>
        </w:rPr>
      </w:pPr>
    </w:p>
    <w:p>
      <w:pPr>
        <w:ind w:left="240" w:right="20" w:firstLine="438"/>
        <w:spacing w:after="0" w:line="288" w:lineRule="auto"/>
        <w:rPr>
          <w:sz w:val="20"/>
          <w:szCs w:val="20"/>
          <w:color w:val="auto"/>
        </w:rPr>
      </w:pPr>
      <w:r>
        <w:rPr>
          <w:rFonts w:ascii="Arial" w:cs="Arial" w:eastAsia="Arial" w:hAnsi="Arial"/>
          <w:sz w:val="16"/>
          <w:szCs w:val="16"/>
          <w:color w:val="auto"/>
        </w:rPr>
        <w:t>We have devoted significant resources to developing our risk management policies and procedures and will continue to do so. Nonetheless, our policies and procedures to identify, monitor and manage risks may not be fully effective in mitigating our risk exposure in all market environments or against all types of risks. Many of our risk management policies are based upon observed historical market behavior or statistics based on historical models. During periods of market volatility or due to unforeseen events, the historically derived correlations upon which these methods are based may not be valid. As a result, these methods may not predict future exposures accurately, which could be significantly greater than what our models indicate. This could cause us to incur losses or cause our risk management strategies to be ineffective. Other risk management methods depend upon the evaluation of information regarding markets, clients, catastrophe occurrence or other matters that are publicly available or otherwise accessible to us, which may not always be accurate, complete, up-to-date or properly evaluated.</w:t>
      </w:r>
    </w:p>
    <w:p>
      <w:pPr>
        <w:spacing w:after="0" w:line="167" w:lineRule="exact"/>
        <w:rPr>
          <w:sz w:val="20"/>
          <w:szCs w:val="20"/>
          <w:color w:val="auto"/>
        </w:rPr>
      </w:pPr>
    </w:p>
    <w:p>
      <w:pPr>
        <w:ind w:left="240" w:firstLine="438"/>
        <w:spacing w:after="0" w:line="295" w:lineRule="auto"/>
        <w:rPr>
          <w:sz w:val="20"/>
          <w:szCs w:val="20"/>
          <w:color w:val="auto"/>
        </w:rPr>
      </w:pPr>
      <w:r>
        <w:rPr>
          <w:rFonts w:ascii="Arial" w:cs="Arial" w:eastAsia="Arial" w:hAnsi="Arial"/>
          <w:sz w:val="16"/>
          <w:szCs w:val="16"/>
          <w:color w:val="auto"/>
        </w:rPr>
        <w:t>In addition, although we perform due diligence on potential clients, we cannot assure you that we will be able to identify all the possible issues based on the information available to us. If a user or client does not meet the relevant qualification requirements under applicable laws but is still able to use our services, we may be subject to regulatory actions and penalties and held liable for damages. Management of operational, legal and regulatory risks requires, among other things, policies and procedures to properly record and verify a large number of transactions and events, and these policies and procedures may not be fully effective in mitigating our risk exposure in all market environments or against all types of risks.</w:t>
      </w:r>
    </w:p>
    <w:p>
      <w:pPr>
        <w:spacing w:after="0" w:line="266" w:lineRule="exact"/>
        <w:rPr>
          <w:sz w:val="20"/>
          <w:szCs w:val="20"/>
          <w:color w:val="auto"/>
        </w:rPr>
      </w:pPr>
    </w:p>
    <w:p>
      <w:pPr>
        <w:ind w:left="240" w:right="80"/>
        <w:spacing w:after="0" w:line="275" w:lineRule="auto"/>
        <w:rPr>
          <w:sz w:val="20"/>
          <w:szCs w:val="20"/>
          <w:color w:val="auto"/>
        </w:rPr>
      </w:pPr>
      <w:r>
        <w:rPr>
          <w:rFonts w:ascii="Arial" w:cs="Arial" w:eastAsia="Arial" w:hAnsi="Arial"/>
          <w:sz w:val="18"/>
          <w:szCs w:val="18"/>
          <w:b w:val="1"/>
          <w:bCs w:val="1"/>
          <w:i w:val="1"/>
          <w:iCs w:val="1"/>
          <w:color w:val="auto"/>
        </w:rPr>
        <w:t>From time to time we may evaluate and potentially consummate investments and acquisitions or enter into alliances, which may require significant management attention, disrupt our business and adversely affect our financial results.</w:t>
      </w:r>
    </w:p>
    <w:p>
      <w:pPr>
        <w:spacing w:after="0" w:line="63" w:lineRule="exact"/>
        <w:rPr>
          <w:sz w:val="20"/>
          <w:szCs w:val="20"/>
          <w:color w:val="auto"/>
        </w:rPr>
      </w:pPr>
    </w:p>
    <w:p>
      <w:pPr>
        <w:ind w:left="240" w:right="40" w:firstLine="438"/>
        <w:spacing w:after="0" w:line="270" w:lineRule="auto"/>
        <w:rPr>
          <w:sz w:val="20"/>
          <w:szCs w:val="20"/>
          <w:color w:val="auto"/>
        </w:rPr>
      </w:pPr>
      <w:r>
        <w:rPr>
          <w:rFonts w:ascii="Arial" w:cs="Arial" w:eastAsia="Arial" w:hAnsi="Arial"/>
          <w:sz w:val="17"/>
          <w:szCs w:val="17"/>
          <w:color w:val="auto"/>
        </w:rPr>
        <w:t>We may evaluate and consider strategic investments, combinations, acquisitions or alliances to further increase the value of our platforms and better serve our users and clients. These transactions could be material to our financial condition and results of operations if consummated. We may not have the financial resources necessary to consummate any acquisitions in the future or the ability to obtain the necessary funds on satisfactory terms. Any future acquisitions may result in significant transaction expenses and risks associated with entering new markets in addition to integration and consolidation risks. Because acquisitions historically have not been a core part of our growth strategy, we have no material experience in successfully utilizing acquisitions. We may not have sufficient management, financial and other resources to integrate any such future acquisitions or to successfully operate new businesses, and we may be unable to profitably operate our expanded company.</w:t>
      </w:r>
    </w:p>
    <w:p>
      <w:pPr>
        <w:spacing w:after="0" w:line="287" w:lineRule="exact"/>
        <w:rPr>
          <w:sz w:val="20"/>
          <w:szCs w:val="20"/>
          <w:color w:val="auto"/>
        </w:rPr>
      </w:pPr>
    </w:p>
    <w:p>
      <w:pPr>
        <w:ind w:left="240" w:right="320"/>
        <w:spacing w:after="0" w:line="275" w:lineRule="auto"/>
        <w:rPr>
          <w:sz w:val="20"/>
          <w:szCs w:val="20"/>
          <w:color w:val="auto"/>
        </w:rPr>
      </w:pPr>
      <w:r>
        <w:rPr>
          <w:rFonts w:ascii="Arial" w:cs="Arial" w:eastAsia="Arial" w:hAnsi="Arial"/>
          <w:sz w:val="18"/>
          <w:szCs w:val="18"/>
          <w:b w:val="1"/>
          <w:bCs w:val="1"/>
          <w:i w:val="1"/>
          <w:iCs w:val="1"/>
          <w:color w:val="auto"/>
        </w:rPr>
        <w:t>Increases in labor costs in the PRC and Hong Kong and enforcement of stricter labor laws and regulations in the PRC may adversely affect our business and results of operations.</w:t>
      </w:r>
    </w:p>
    <w:p>
      <w:pPr>
        <w:spacing w:after="0" w:line="63" w:lineRule="exact"/>
        <w:rPr>
          <w:sz w:val="20"/>
          <w:szCs w:val="20"/>
          <w:color w:val="auto"/>
        </w:rPr>
      </w:pPr>
    </w:p>
    <w:p>
      <w:pPr>
        <w:ind w:left="240" w:right="20" w:firstLine="438"/>
        <w:spacing w:after="0" w:line="292" w:lineRule="auto"/>
        <w:rPr>
          <w:sz w:val="20"/>
          <w:szCs w:val="20"/>
          <w:color w:val="auto"/>
        </w:rPr>
      </w:pPr>
      <w:r>
        <w:rPr>
          <w:rFonts w:ascii="Arial" w:cs="Arial" w:eastAsia="Arial" w:hAnsi="Arial"/>
          <w:sz w:val="16"/>
          <w:szCs w:val="16"/>
          <w:color w:val="auto"/>
        </w:rPr>
        <w:t>The economy in China and Hong Kong has experienced increases in inflation and labor costs in recent years. As a result, average wages in the PRC and Hong Kong are expected to continue to increase. In addition, we are required by PRC and Hong Kong laws and regulations to pay various statutory employee benefits, including pension, housing fund, medical insurance, work-related injury insurance, unemployment insurance and maternity insurance to designated government agencies for the benefit of our employees. The relevant government agencies may examine whether an employer has made adequate payments to the statutory employee benefits, and those employers who fail to make adequate payments may be subject to late payment fees, fines and/or other penalties. We expect that our labor costs, including wages and employee benefits, will continue to</w:t>
      </w:r>
    </w:p>
    <w:p>
      <w:pPr>
        <w:spacing w:after="0" w:line="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240" w:top="457"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80"/>
        <w:spacing w:after="0" w:line="275" w:lineRule="auto"/>
        <w:rPr>
          <w:sz w:val="20"/>
          <w:szCs w:val="20"/>
          <w:color w:val="auto"/>
        </w:rPr>
      </w:pPr>
      <w:r>
        <w:rPr>
          <w:rFonts w:ascii="Arial" w:cs="Arial" w:eastAsia="Arial" w:hAnsi="Arial"/>
          <w:sz w:val="18"/>
          <w:szCs w:val="18"/>
          <w:color w:val="auto"/>
        </w:rPr>
        <w:t>increase. Unless we are able to control our labor costs or pass on these increased labor costs, our financial condition and results of operations may be adversely affected.</w:t>
      </w:r>
    </w:p>
    <w:p>
      <w:pPr>
        <w:spacing w:after="0" w:line="278" w:lineRule="exact"/>
        <w:rPr>
          <w:sz w:val="20"/>
          <w:szCs w:val="20"/>
          <w:color w:val="auto"/>
        </w:rPr>
      </w:pPr>
    </w:p>
    <w:p>
      <w:pPr>
        <w:ind w:left="240" w:right="440"/>
        <w:spacing w:after="0" w:line="262"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controls as of December 31, 2017, and if we fail to implement and maintain an effective system of internal controls to remediate our material weakness over financial reporting, we may be unable to accurately report our results of operations, meet our reporting obligations or prevent fraud.</w:t>
      </w:r>
    </w:p>
    <w:p>
      <w:pPr>
        <w:spacing w:after="0" w:line="74" w:lineRule="exact"/>
        <w:rPr>
          <w:sz w:val="20"/>
          <w:szCs w:val="20"/>
          <w:color w:val="auto"/>
        </w:rPr>
      </w:pPr>
    </w:p>
    <w:p>
      <w:pPr>
        <w:ind w:left="240" w:firstLine="438"/>
        <w:spacing w:after="0" w:line="287" w:lineRule="auto"/>
        <w:rPr>
          <w:sz w:val="20"/>
          <w:szCs w:val="20"/>
          <w:color w:val="auto"/>
        </w:rPr>
      </w:pPr>
      <w:r>
        <w:rPr>
          <w:rFonts w:ascii="Arial" w:cs="Arial" w:eastAsia="Arial" w:hAnsi="Arial"/>
          <w:sz w:val="16"/>
          <w:szCs w:val="16"/>
          <w:color w:val="auto"/>
        </w:rPr>
        <w:t>Prior to this offering, we have been a private company with limited accounting personnel and other resources with which to address our internal controls. In the course of auditing our consolidated financial statements, we and our independent registered public accounting firm identified a material weakness in our internal controls. A material weakness is a deficiency, or combination of deficiencies, in internal controls such that there is a reasonable possibility that a material misstatement of our annual or interim financial statements will not be prevented or detected on a timely basis. One material weakness relates to our lack of a sufficient number of financial reporting personnel with the appropriate level of knowledge and experience in the application of U.S. GAAP and Securities and Exchange Commission, or SEC, rules and regulations commensurate with our reporting requirements. Although we have begun to implement measures to address the material weakness, implementation of those measures may not fully remediate the material weakness in a timely manner. In the future we may determine that we have additional material weaknesses, or our independent registered public accounting firm may disagree with our management assessment of the effectiveness of our internal controls.</w:t>
      </w:r>
    </w:p>
    <w:p>
      <w:pPr>
        <w:spacing w:after="0" w:line="168" w:lineRule="exact"/>
        <w:rPr>
          <w:sz w:val="20"/>
          <w:szCs w:val="20"/>
          <w:color w:val="auto"/>
        </w:rPr>
      </w:pPr>
    </w:p>
    <w:p>
      <w:pPr>
        <w:ind w:left="240" w:right="20" w:firstLine="438"/>
        <w:spacing w:after="0" w:line="295" w:lineRule="auto"/>
        <w:rPr>
          <w:sz w:val="20"/>
          <w:szCs w:val="20"/>
          <w:color w:val="auto"/>
        </w:rPr>
      </w:pPr>
      <w:r>
        <w:rPr>
          <w:rFonts w:ascii="Arial" w:cs="Arial" w:eastAsia="Arial" w:hAnsi="Arial"/>
          <w:sz w:val="16"/>
          <w:szCs w:val="16"/>
          <w:color w:val="auto"/>
        </w:rPr>
        <w:t>If we fail to establish and maintain adequate internal controls, we could suffer material misstatements in our financial statements and fail to meet our reporting obligations, which would likely cause investors to lose confidence in our reported financial information. This could limit our access to capital markets, adversely affect our results of operations and lead to a decline in the trading price of the ADSs. Additionally, ineffective internal controls could expose us to an increased risk of fraud or misuse of corporate assets and subject us to potential delisting from the stock exchange on which we list or to other regulatory investigations and civil or criminal sanctions. We could also be required to restate our historical financial statements.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5" w:lineRule="exact"/>
        <w:rPr>
          <w:sz w:val="20"/>
          <w:szCs w:val="20"/>
          <w:color w:val="auto"/>
        </w:rPr>
      </w:pPr>
    </w:p>
    <w:p>
      <w:pPr>
        <w:ind w:left="240" w:right="120" w:firstLine="438"/>
        <w:spacing w:after="0" w:line="285" w:lineRule="auto"/>
        <w:rPr>
          <w:sz w:val="20"/>
          <w:szCs w:val="20"/>
          <w:color w:val="auto"/>
        </w:rPr>
      </w:pPr>
      <w:r>
        <w:rPr>
          <w:rFonts w:ascii="Arial" w:cs="Arial" w:eastAsia="Arial" w:hAnsi="Arial"/>
          <w:sz w:val="16"/>
          <w:szCs w:val="16"/>
          <w:color w:val="auto"/>
        </w:rPr>
        <w:t>Although we will have certain expenses and revenues denominated in Renminbi, our revenues and expenses will be denominated predominantly in Hong Kong dollars. The value of the Hong Kong dollar and Renminbi against the U.S. dollar may fluctuate and may be affected by, among other things, changes in political and economic conditions. Although the exchange rate between the Hong Kong dollar to the U.S. dollar has been pegged since 1983, we cannot assure you that the Hong Kong dollar will remain pegged to the U.S. dollar. The value of Renminbi against the U.S. dollar and other currencies is affected by changes in China’s political and economic conditions and by China’s foreign exchange policies, among other things. In July 2005, the PRC government changed its decades-old policy of pegging the value of Renminbi to the U.S. dollar, and Renminbi appreciated more than 20% against the U.S. dollar over the following three years. Between July 2008 and June 2010, this appreciation halted and the exchange rate between Renminbi and the U.S. dollar remained within a narrow band. Since June 2010, Renminbi has fluctuated against the U.S. dollar, at times significantly and unpredictably. With the development of the foreign exchange market and progress towards interest rate liberalization and Renminbi internationalization, the PRC government may in the future announce further changes to the exchange rate system and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171" w:lineRule="exact"/>
        <w:rPr>
          <w:sz w:val="20"/>
          <w:szCs w:val="20"/>
          <w:color w:val="auto"/>
        </w:rPr>
      </w:pPr>
    </w:p>
    <w:p>
      <w:pPr>
        <w:ind w:left="240" w:right="120" w:firstLine="438"/>
        <w:spacing w:after="0" w:line="275" w:lineRule="auto"/>
        <w:rPr>
          <w:sz w:val="20"/>
          <w:szCs w:val="20"/>
          <w:color w:val="auto"/>
        </w:rPr>
      </w:pPr>
      <w:r>
        <w:rPr>
          <w:rFonts w:ascii="Arial" w:cs="Arial" w:eastAsia="Arial" w:hAnsi="Arial"/>
          <w:sz w:val="18"/>
          <w:szCs w:val="18"/>
          <w:color w:val="auto"/>
        </w:rPr>
        <w:t>Any significant fluctuations in the exchange rates between Hong Kong dollars or Renminbi to U.S. dollars may have a material adverse effect on our revenues and financial condition. For example, to the extent that we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7"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80"/>
        <w:spacing w:after="0" w:line="284" w:lineRule="auto"/>
        <w:rPr>
          <w:sz w:val="20"/>
          <w:szCs w:val="20"/>
          <w:color w:val="auto"/>
        </w:rPr>
      </w:pPr>
      <w:r>
        <w:rPr>
          <w:rFonts w:ascii="Arial" w:cs="Arial" w:eastAsia="Arial" w:hAnsi="Arial"/>
          <w:sz w:val="17"/>
          <w:szCs w:val="17"/>
          <w:color w:val="auto"/>
        </w:rPr>
        <w:t>are required to convert U.S. dollars we receive from this offering into Hong Kong dollars or Renminbi for our operations, fluctuations in the exchange rates between Hong Kong dollars or Renminbi against the U.S. dollar would have an adverse effect on the amounts we receive from the conversion. We have not used any forward contracts, futures, swaps or currency borrowings to hedge our exposure to foreign currency risk.</w:t>
      </w:r>
    </w:p>
    <w:p>
      <w:pPr>
        <w:spacing w:after="0" w:line="165" w:lineRule="exact"/>
        <w:rPr>
          <w:sz w:val="20"/>
          <w:szCs w:val="20"/>
          <w:color w:val="auto"/>
        </w:rPr>
      </w:pPr>
    </w:p>
    <w:p>
      <w:pPr>
        <w:ind w:left="240" w:right="80" w:firstLine="438"/>
        <w:spacing w:after="0" w:line="274" w:lineRule="auto"/>
        <w:rPr>
          <w:sz w:val="20"/>
          <w:szCs w:val="20"/>
          <w:color w:val="auto"/>
        </w:rPr>
      </w:pPr>
      <w:r>
        <w:rPr>
          <w:rFonts w:ascii="Arial" w:cs="Arial" w:eastAsia="Arial" w:hAnsi="Arial"/>
          <w:sz w:val="17"/>
          <w:szCs w:val="17"/>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281" w:lineRule="exact"/>
        <w:rPr>
          <w:sz w:val="20"/>
          <w:szCs w:val="20"/>
          <w:color w:val="auto"/>
        </w:rPr>
      </w:pPr>
    </w:p>
    <w:p>
      <w:pPr>
        <w:ind w:left="240" w:right="380"/>
        <w:spacing w:after="0" w:line="275" w:lineRule="auto"/>
        <w:rPr>
          <w:sz w:val="20"/>
          <w:szCs w:val="20"/>
          <w:color w:val="auto"/>
        </w:rPr>
      </w:pPr>
      <w:r>
        <w:rPr>
          <w:rFonts w:ascii="Arial" w:cs="Arial" w:eastAsia="Arial" w:hAnsi="Arial"/>
          <w:sz w:val="18"/>
          <w:szCs w:val="18"/>
          <w:b w:val="1"/>
          <w:bCs w:val="1"/>
          <w:i w:val="1"/>
          <w:iCs w:val="1"/>
          <w:color w:val="auto"/>
        </w:rPr>
        <w:t>Our anticipated international expansion will subject us to additional risks and increased legal and regulatory requirements, which could have a material effect on our business.</w:t>
      </w:r>
    </w:p>
    <w:p>
      <w:pPr>
        <w:spacing w:after="0" w:line="63" w:lineRule="exact"/>
        <w:rPr>
          <w:sz w:val="20"/>
          <w:szCs w:val="20"/>
          <w:color w:val="auto"/>
        </w:rPr>
      </w:pPr>
    </w:p>
    <w:p>
      <w:pPr>
        <w:ind w:left="240" w:firstLine="438"/>
        <w:spacing w:after="0" w:line="288" w:lineRule="auto"/>
        <w:rPr>
          <w:sz w:val="20"/>
          <w:szCs w:val="20"/>
          <w:color w:val="auto"/>
        </w:rPr>
      </w:pPr>
      <w:r>
        <w:rPr>
          <w:rFonts w:ascii="Arial" w:cs="Arial" w:eastAsia="Arial" w:hAnsi="Arial"/>
          <w:sz w:val="16"/>
          <w:szCs w:val="16"/>
          <w:color w:val="auto"/>
        </w:rPr>
        <w:t>Our historical operations have been focused in Hong Kong and the PRC. In the future, we plan to expand further into international markets, including the United States. As we enter countries and markets that are new to us, we must tailor our services and business model to the unique circumstances of such countries and markets, which can be complex, difficult, costly and divert management and personnel resources. In addition, we may face competition in other countries from companies that may have more experience with operations in such countries or with global operations in general. Laws and business practices that favor local competitors or prohibit or limit foreign ownership of certain businesses or our failure to adapt our practices, systems, processes and business models effectively to the client preferences of each country into which we expand, could slow our growth. Certain markets in which we operate have, or certain new markets in which we may operate in the future may have, lower margins than our more mature markets, which could have a negative impact on our overall margins as our revenues from these markets grow over time.</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addition to the risks outlined elsewhere in this section, our international expansion is subject to a number of other risks, including:</w:t>
      </w:r>
    </w:p>
    <w:p>
      <w:pPr>
        <w:spacing w:after="0" w:line="129" w:lineRule="exact"/>
        <w:rPr>
          <w:sz w:val="20"/>
          <w:szCs w:val="20"/>
          <w:color w:val="auto"/>
        </w:rPr>
      </w:pPr>
    </w:p>
    <w:p>
      <w:pPr>
        <w:ind w:left="1100" w:hanging="32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restrictions or costs and exchange rate fluctuations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local economic or political instability, threatened or actual acts of terrorism and security concerns in general;</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weaker or uncertain enforcement of our contractual and intellectual property rights;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preferences by local populations for local service providers;</w:t>
      </w:r>
    </w:p>
    <w:p>
      <w:pPr>
        <w:spacing w:after="0" w:line="128" w:lineRule="exact"/>
        <w:rPr>
          <w:rFonts w:ascii="Arial" w:cs="Arial" w:eastAsia="Arial" w:hAnsi="Arial"/>
          <w:sz w:val="18"/>
          <w:szCs w:val="18"/>
          <w:color w:val="auto"/>
        </w:rPr>
      </w:pPr>
    </w:p>
    <w:p>
      <w:pPr>
        <w:ind w:left="1100" w:right="900" w:hanging="327"/>
        <w:spacing w:after="0" w:line="275"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adoption of the internet and mobile devices as advertising, broadcast and commerce mediums and the lack of appropriate infrastructure to support widespread internet and mobile device usage in those markets;</w:t>
      </w:r>
    </w:p>
    <w:p>
      <w:pPr>
        <w:spacing w:after="0" w:line="76" w:lineRule="exact"/>
        <w:rPr>
          <w:rFonts w:ascii="Arial" w:cs="Arial" w:eastAsia="Arial" w:hAnsi="Arial"/>
          <w:sz w:val="18"/>
          <w:szCs w:val="18"/>
          <w:color w:val="auto"/>
        </w:rPr>
      </w:pPr>
    </w:p>
    <w:p>
      <w:pPr>
        <w:ind w:left="1100" w:right="140" w:hanging="327"/>
        <w:spacing w:after="0" w:line="275"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employees in certain international markets, as well as managing staffing and operations due to increased complexity, distance, time zones, language and cultural differences; and</w:t>
      </w:r>
    </w:p>
    <w:p>
      <w:pPr>
        <w:spacing w:after="0" w:line="76" w:lineRule="exact"/>
        <w:rPr>
          <w:rFonts w:ascii="Arial" w:cs="Arial" w:eastAsia="Arial" w:hAnsi="Arial"/>
          <w:sz w:val="18"/>
          <w:szCs w:val="18"/>
          <w:color w:val="auto"/>
        </w:rPr>
      </w:pPr>
    </w:p>
    <w:p>
      <w:pPr>
        <w:ind w:left="1100" w:hanging="32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uncertainty regarding liability for services and content, including uncertainty as a result of local laws and lack of precedent.</w:t>
      </w:r>
    </w:p>
    <w:p>
      <w:pPr>
        <w:spacing w:after="0" w:line="223" w:lineRule="exact"/>
        <w:rPr>
          <w:sz w:val="20"/>
          <w:szCs w:val="20"/>
          <w:color w:val="auto"/>
        </w:rPr>
      </w:pPr>
    </w:p>
    <w:p>
      <w:pPr>
        <w:ind w:left="240" w:right="60" w:firstLine="438"/>
        <w:spacing w:after="0" w:line="284" w:lineRule="auto"/>
        <w:rPr>
          <w:sz w:val="20"/>
          <w:szCs w:val="20"/>
          <w:color w:val="auto"/>
        </w:rPr>
      </w:pPr>
      <w:r>
        <w:rPr>
          <w:rFonts w:ascii="Arial" w:cs="Arial" w:eastAsia="Arial" w:hAnsi="Arial"/>
          <w:sz w:val="17"/>
          <w:szCs w:val="17"/>
          <w:color w:val="auto"/>
        </w:rPr>
        <w:t>Such international expansion will also subject us to additional legal and regulatory control and requirements, including but not limited to the rules imposed by the SEC, FINRA, CFTC and other regulatory agencies in the U.S. Domestic and foreign stock exchanges, other self-regulatory organizations and state and foreign securities commissions can censure, fine, issue cease-and-desist orders, or suspend or expel a broker-</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7"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60"/>
        <w:spacing w:after="0" w:line="292" w:lineRule="auto"/>
        <w:rPr>
          <w:sz w:val="20"/>
          <w:szCs w:val="20"/>
          <w:color w:val="auto"/>
        </w:rPr>
      </w:pPr>
      <w:r>
        <w:rPr>
          <w:rFonts w:ascii="Arial" w:cs="Arial" w:eastAsia="Arial" w:hAnsi="Arial"/>
          <w:sz w:val="16"/>
          <w:szCs w:val="16"/>
          <w:color w:val="auto"/>
        </w:rPr>
        <w:t>dealer or any of its officers or employees. Our ability to comply with all applicable laws and rules is largely dependent on our internal system to ensure compliance, as well as our ability to attract and retain qualified compliance personnel. We could be subject to disciplinary or other actions in the future due to claimed noncompliance, which could have a material adverse effect on our business, financial condition and results of operations. To continue to expand our services internationally, we may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268" w:lineRule="exact"/>
        <w:rPr>
          <w:sz w:val="20"/>
          <w:szCs w:val="20"/>
          <w:color w:val="auto"/>
        </w:rPr>
      </w:pPr>
    </w:p>
    <w:p>
      <w:pPr>
        <w:ind w:left="240" w:right="400"/>
        <w:spacing w:after="0" w:line="275" w:lineRule="auto"/>
        <w:rPr>
          <w:sz w:val="20"/>
          <w:szCs w:val="20"/>
          <w:color w:val="auto"/>
        </w:rPr>
      </w:pPr>
      <w:r>
        <w:rPr>
          <w:rFonts w:ascii="Arial" w:cs="Arial" w:eastAsia="Arial" w:hAnsi="Arial"/>
          <w:sz w:val="18"/>
          <w:szCs w:val="18"/>
          <w:b w:val="1"/>
          <w:bCs w:val="1"/>
          <w:i w:val="1"/>
          <w:iCs w:val="1"/>
          <w:color w:val="auto"/>
        </w:rPr>
        <w:t>Any failure by us or our third-party service providers to comply with applicable anti-money laundering laws and regulations could damage our reputation.</w:t>
      </w:r>
    </w:p>
    <w:p>
      <w:pPr>
        <w:spacing w:after="0" w:line="63"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We are required to comply with applicable anti-money laundering and counter terrorism laws and regulations in Hong Kong, the PRC and other relevant jurisdictions. These laws and regulations require financial institutions to establish sound internal control policies and procedures with respect to anti-money laundering monitoring and reporting activities. Such policies and procedures require us to, among other things, designate an independent anti-money laundering reporting officer, establish a customer due diligence system in accordance with relevant rules, record the details of client activities and report suspicious transactions to the relevant authorities.</w:t>
      </w:r>
    </w:p>
    <w:p>
      <w:pPr>
        <w:spacing w:after="0" w:line="189"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color w:val="auto"/>
        </w:rPr>
        <w:t>We have implemented various policies and procedures in compliance with all applicable anti-money laundering and anti-terrorist financing laws and regulations, including internal controls and “know-your-customer” procedures, for preventing money laundering and terrorist financing. In addition, our institutional partners in Hong Kong have their own appropriate anti-money laundering policies and procedures with respect to accounts opening services for our clients. Certain of our institutional partners are subject to anti-money laundering obligations under applicable anti-money laundering laws and regulations and are regulated in that respect by the HK SFC, the Hong Kong Monetary Authority and the PBOC. We have adopted commercially reasonable procedures for monitoring our institutional funding partners. In the event that we fail to fully comply with the applicable laws and regulations, the relevant government authorities may freeze our assets or impose fines or other penalties on us. There can be no assurance that there will not be failures in detecting money laundering or other illegal or improper activities, which may adversely affect our business, reputation, financial condition and results of operations.</w:t>
      </w:r>
    </w:p>
    <w:p>
      <w:pPr>
        <w:spacing w:after="0" w:line="184" w:lineRule="exact"/>
        <w:rPr>
          <w:sz w:val="20"/>
          <w:szCs w:val="20"/>
          <w:color w:val="auto"/>
        </w:rPr>
      </w:pPr>
    </w:p>
    <w:p>
      <w:pPr>
        <w:ind w:left="240" w:firstLine="438"/>
        <w:spacing w:after="0" w:line="285" w:lineRule="auto"/>
        <w:rPr>
          <w:sz w:val="20"/>
          <w:szCs w:val="20"/>
          <w:color w:val="auto"/>
        </w:rPr>
      </w:pPr>
      <w:r>
        <w:rPr>
          <w:rFonts w:ascii="Arial" w:cs="Arial" w:eastAsia="Arial" w:hAnsi="Arial"/>
          <w:sz w:val="16"/>
          <w:szCs w:val="16"/>
          <w:color w:val="auto"/>
        </w:rPr>
        <w:t>Our policies and procedures may not be completely effective in preventing other parties from using us or any of our institutional funding partners as a conduit for money laundering (including illegal cash operations) or terrorist financing without our knowledge. If we were to be associated with money laundering (including illegal cash operations) or terrorist financing, our reputation could suffer and we could become subject to regulatory fines, sanctions, or legal enforcement, including being added to any “blacklists” that would prohibit certain parties from engaging in transactions with us, all of which could have a material adverse effect on our financial condition and results of operations. Even if we and our institutional funding partners comply with the applicable anti-money laundering laws and regulations, we and institutional funding partners may not be able to fully eliminate money laundering and other illegal or improper activities in light of the complexity and the secrecy of these activities. Any negative perception of the industry, such as that arising from any failure of other online brokerage firms to detect or prevent money laundering activities, even if factually incorrect or based on isolated incidents, could compromise our image, undermine the trust and credibility we have established, and negatively impact our financial condition and results of operation. See also “—Risks related to Our Business and Industry—We are subject to extensive and evolving regulatory requirements in Hong Kong,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 In addition, we are involved in ongoing inquiries and investigations by the HK SFC.”</w:t>
      </w:r>
    </w:p>
    <w:p>
      <w:pPr>
        <w:spacing w:after="0" w:line="1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240" w:top="457"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may be affected by the Competition Ordinance of Hong Kong.</w:t>
      </w:r>
    </w:p>
    <w:p>
      <w:pPr>
        <w:spacing w:after="0" w:line="115" w:lineRule="exact"/>
        <w:rPr>
          <w:sz w:val="20"/>
          <w:szCs w:val="20"/>
          <w:color w:val="auto"/>
        </w:rPr>
      </w:pPr>
    </w:p>
    <w:p>
      <w:pPr>
        <w:ind w:left="240" w:right="220" w:firstLine="438"/>
        <w:spacing w:after="0" w:line="290" w:lineRule="auto"/>
        <w:rPr>
          <w:sz w:val="20"/>
          <w:szCs w:val="20"/>
          <w:color w:val="auto"/>
        </w:rPr>
      </w:pPr>
      <w:r>
        <w:rPr>
          <w:rFonts w:ascii="Arial" w:cs="Arial" w:eastAsia="Arial" w:hAnsi="Arial"/>
          <w:sz w:val="16"/>
          <w:szCs w:val="16"/>
          <w:color w:val="auto"/>
        </w:rPr>
        <w:t>The Competition Ordinance (Chapter 619 of the Laws of Hong Kong) came into full effect in Hong Kong on December 14, 2015. The Competition Ordinance prohibits and deters undertakings in all sectors from adopting anti-competitive conduct which has the object or effect of preventing, restricting or distorting competition in Hong Kong. The key prohibitions include (i) prohibition of agreements between businesses which have the object or effect of preventing, restricting or distorting competition in Hong Kong; and (ii) prohibiting companies with a substantial degree of market power, including monopolists, from abusing their power by engaging in conduct that has the object or effect of harming competition in Hong Kong. There are very severe penalties for breaches of the Competition Ordinance, including financial penalties of up to 10.0% of the total gross revenues obtained in Hong Kong for each year of infringement, up to a maximum of three years in which the contravention occurs.</w:t>
      </w:r>
    </w:p>
    <w:p>
      <w:pPr>
        <w:spacing w:after="0" w:line="162" w:lineRule="exact"/>
        <w:rPr>
          <w:sz w:val="20"/>
          <w:szCs w:val="20"/>
          <w:color w:val="auto"/>
        </w:rPr>
      </w:pPr>
    </w:p>
    <w:p>
      <w:pPr>
        <w:ind w:left="240" w:right="40" w:firstLine="438"/>
        <w:spacing w:after="0" w:line="255" w:lineRule="auto"/>
        <w:rPr>
          <w:sz w:val="20"/>
          <w:szCs w:val="20"/>
          <w:color w:val="auto"/>
        </w:rPr>
      </w:pPr>
      <w:r>
        <w:rPr>
          <w:rFonts w:ascii="Arial" w:cs="Arial" w:eastAsia="Arial" w:hAnsi="Arial"/>
          <w:sz w:val="18"/>
          <w:szCs w:val="18"/>
          <w:color w:val="auto"/>
        </w:rPr>
        <w:t>Since the Competition Ordinance has only been operational since December 2015, there are uncertainties on the full effect of the rules in respect of compliance, infringement and its effect on our sales. We may face difficulties and may need to incur legal costs in ensuring our compliance with the Competition Ordinance. We may also inadvertently infringe the Competition Ordinance and under such circumstance, we may be subject to fines and/or other penalties, incur substantial legal costs and experience business disruption and/or negative media coverage, which could adversely affect our business, results of operations and reputation.</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limited business insurance coverage.</w:t>
      </w:r>
    </w:p>
    <w:p>
      <w:pPr>
        <w:spacing w:after="0" w:line="115" w:lineRule="exact"/>
        <w:rPr>
          <w:sz w:val="20"/>
          <w:szCs w:val="20"/>
          <w:color w:val="auto"/>
        </w:rPr>
      </w:pPr>
    </w:p>
    <w:p>
      <w:pPr>
        <w:ind w:left="240" w:right="80" w:firstLine="438"/>
        <w:spacing w:after="0" w:line="252" w:lineRule="auto"/>
        <w:rPr>
          <w:sz w:val="20"/>
          <w:szCs w:val="20"/>
          <w:color w:val="auto"/>
        </w:rPr>
      </w:pPr>
      <w:r>
        <w:rPr>
          <w:rFonts w:ascii="Arial" w:cs="Arial" w:eastAsia="Arial" w:hAnsi="Arial"/>
          <w:sz w:val="18"/>
          <w:szCs w:val="18"/>
          <w:color w:val="auto"/>
        </w:rPr>
        <w:t>We currently carry limited insurance in connection with our brokerage business covered by the Type 1 license from HK SFC against certain risks in accordance with the requirements under the Securities and Futures (Insurance) Rules of Hong Kong. However, we do not carry business interruption insurance to compensate for losses that could occur to the extent not required. We also do not maintain general product liability insurance or key-man insurance, and only maintain limited general property insurance. We consider our insurance coverage to be reasonable in light of the nature of our business, but we cannot assure you that our insurance coverage is sufficient to prevent us from any loss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302" w:lineRule="exact"/>
        <w:rPr>
          <w:sz w:val="20"/>
          <w:szCs w:val="20"/>
          <w:color w:val="auto"/>
        </w:rPr>
      </w:pPr>
    </w:p>
    <w:p>
      <w:pPr>
        <w:ind w:left="240" w:right="120"/>
        <w:spacing w:after="0" w:line="339" w:lineRule="auto"/>
        <w:rPr>
          <w:sz w:val="20"/>
          <w:szCs w:val="20"/>
          <w:color w:val="auto"/>
        </w:rPr>
      </w:pPr>
      <w:r>
        <w:rPr>
          <w:rFonts w:ascii="Arial" w:cs="Arial" w:eastAsia="Arial" w:hAnsi="Arial"/>
          <w:sz w:val="16"/>
          <w:szCs w:val="16"/>
          <w:b w:val="1"/>
          <w:bCs w:val="1"/>
          <w:i w:val="1"/>
          <w:iCs w:val="1"/>
          <w:color w:val="auto"/>
        </w:rPr>
        <w:t>We may not be able to obtain additional capital when desired, on favorable terms or at all. If we fail to meet the capital requirement pursuant to the Securities and Futures (Financial Resources) Rules, our business operations and performance will be adversely affected.</w:t>
      </w:r>
    </w:p>
    <w:p>
      <w:pPr>
        <w:spacing w:after="0" w:line="17" w:lineRule="exact"/>
        <w:rPr>
          <w:sz w:val="20"/>
          <w:szCs w:val="20"/>
          <w:color w:val="auto"/>
        </w:rPr>
      </w:pPr>
    </w:p>
    <w:p>
      <w:pPr>
        <w:ind w:left="240" w:firstLine="438"/>
        <w:spacing w:after="0" w:line="267" w:lineRule="auto"/>
        <w:rPr>
          <w:sz w:val="20"/>
          <w:szCs w:val="20"/>
          <w:color w:val="auto"/>
        </w:rPr>
      </w:pPr>
      <w:r>
        <w:rPr>
          <w:rFonts w:ascii="Arial" w:cs="Arial" w:eastAsia="Arial" w:hAnsi="Arial"/>
          <w:sz w:val="17"/>
          <w:szCs w:val="17"/>
          <w:color w:val="auto"/>
        </w:rPr>
        <w:t>We anticipate that the net proceeds we receive from this offering, together with our current cash, cash provided by operating activities and funds available through our bank loans and credit facilities, will be sufficient to meet our current and anticipated needs for general corporate purposes for at least the next 12 months. However, we need to make continued investments in facilities, hardware, software, technological systems and to retain talented personnel to remain competitive. Due to the unpredictable nature of the capital markets and our industry, we cannot assure you that we will be able to raise additional capital on terms favorable to us, or at all, if and when required, especially if we experience disappointing operating results. If adequate capital is not available to us as required, our ability to fund our operations, take advantage of unanticipated opportunities, develop or enhance our infrastructure or respond to competitive pressures could be significantly limited, which would adversely affect our business, financial condition and results of operations. If we do raise additional funds through the issuance of equity or convertible debt securities, the ownership interests of our shareholders could be significantly diluted. These newly issued securities may have rights, preferences or privileges senior to those of existing shareholders. In addition, Futu Securities International (Hong Kong) Limited, our HK SFC licensed subsidiary, is required under the Securities and Futures (Financial Resources) Rules to maintain certain level of liquid capital. If we fail to maintain the required level of liquid capital, the HK SFC may take actions against us and our business will be adversely affected.</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7"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
        <w:spacing w:after="0" w:line="262" w:lineRule="auto"/>
        <w:rPr>
          <w:sz w:val="20"/>
          <w:szCs w:val="20"/>
          <w:color w:val="auto"/>
        </w:rPr>
      </w:pPr>
      <w:r>
        <w:rPr>
          <w:rFonts w:ascii="Arial" w:cs="Arial" w:eastAsia="Arial" w:hAnsi="Arial"/>
          <w:sz w:val="18"/>
          <w:szCs w:val="18"/>
          <w:b w:val="1"/>
          <w:bCs w:val="1"/>
          <w:i w:val="1"/>
          <w:iCs w:val="1"/>
          <w:color w:val="auto"/>
        </w:rPr>
        <w:t>Internet-related issues may reduce or slow the growth in the use of our services in the future. In particular, our future growth depends on the further acceptance of the internet and particularly the mobile internet as an effective platform for assessing trading and other financial services and content.</w:t>
      </w:r>
    </w:p>
    <w:p>
      <w:pPr>
        <w:spacing w:after="0" w:line="74" w:lineRule="exact"/>
        <w:rPr>
          <w:sz w:val="20"/>
          <w:szCs w:val="20"/>
          <w:color w:val="auto"/>
        </w:rPr>
      </w:pPr>
    </w:p>
    <w:p>
      <w:pPr>
        <w:ind w:left="240" w:right="120" w:firstLine="438"/>
        <w:spacing w:after="0" w:line="288" w:lineRule="auto"/>
        <w:rPr>
          <w:sz w:val="20"/>
          <w:szCs w:val="20"/>
          <w:color w:val="auto"/>
        </w:rPr>
      </w:pPr>
      <w:r>
        <w:rPr>
          <w:rFonts w:ascii="Arial" w:cs="Arial" w:eastAsia="Arial" w:hAnsi="Arial"/>
          <w:sz w:val="16"/>
          <w:szCs w:val="16"/>
          <w:color w:val="auto"/>
        </w:rPr>
        <w:t>Critical issues concerning the commercial use of the internet, such as ease of access, security, privacy, reliability, cost, and quality of service, remain unresolved and may adversely impact the growth of internet use. If internet usage continues to increase rapidly, the internet infrastructure may not be able to support the demands placed on it by this growth, and its performance and reliability may decline. Continuous rapid growth in internet traffic may cause decreased performance, outages and delays. Our ability to increase the speed with which we provide services to users and clients and to increase the scope and quality of such services is limited by and dependent upon the speed and reliability of our users’ and clients’ access to the internet, which is beyond our control. If periods of decreased performance, outages or delays on the internet occur frequently or other critical issues concerning the internet are not resolved, overall internet usage or usage of our web-based services could increase more slowly or decline, which would cause our business, results of operations and financial condition to be materially and adversely affected.</w:t>
      </w:r>
    </w:p>
    <w:p>
      <w:pPr>
        <w:spacing w:after="0" w:line="167" w:lineRule="exact"/>
        <w:rPr>
          <w:sz w:val="20"/>
          <w:szCs w:val="20"/>
          <w:color w:val="auto"/>
        </w:rPr>
      </w:pPr>
    </w:p>
    <w:p>
      <w:pPr>
        <w:ind w:left="240" w:firstLine="438"/>
        <w:spacing w:after="0" w:line="269" w:lineRule="auto"/>
        <w:rPr>
          <w:sz w:val="20"/>
          <w:szCs w:val="20"/>
          <w:color w:val="auto"/>
        </w:rPr>
      </w:pPr>
      <w:r>
        <w:rPr>
          <w:rFonts w:ascii="Arial" w:cs="Arial" w:eastAsia="Arial" w:hAnsi="Arial"/>
          <w:sz w:val="17"/>
          <w:szCs w:val="17"/>
          <w:color w:val="auto"/>
        </w:rPr>
        <w:t>Furthermore, while the internet and the mobile internet have gained increased popularity in China and Hong Kong as platforms for financial products and content in recent years, many investors have limited experience in trading and using other financial services online. For example, investors may not find online content to be reliable sources of financial product information. If we fail to educate investors about the value of our platform and our services, our growth will be limited and our business, financial performance and prospects may be materially and adversely affected. The further acceptance of the internet and particularly the mobile internet as an effective and efficient platform for trading and other financial services and content is also affected by factors beyond our control, including negative publicity around online and mobile brokerage services and restrictive regulatory measures taken by the PRC government. If online and mobile networks do not achieve adequate acceptance in the market, our growth prospects, results of operations and financial condition could be harmed.</w:t>
      </w:r>
    </w:p>
    <w:p>
      <w:pPr>
        <w:spacing w:after="0" w:line="288" w:lineRule="exact"/>
        <w:rPr>
          <w:sz w:val="20"/>
          <w:szCs w:val="20"/>
          <w:color w:val="auto"/>
        </w:rPr>
      </w:pPr>
    </w:p>
    <w:p>
      <w:pPr>
        <w:ind w:left="240" w:right="120"/>
        <w:spacing w:after="0" w:line="339" w:lineRule="auto"/>
        <w:rPr>
          <w:sz w:val="20"/>
          <w:szCs w:val="20"/>
          <w:color w:val="auto"/>
        </w:rPr>
      </w:pPr>
      <w:r>
        <w:rPr>
          <w:rFonts w:ascii="Arial" w:cs="Arial" w:eastAsia="Arial" w:hAnsi="Arial"/>
          <w:sz w:val="16"/>
          <w:szCs w:val="16"/>
          <w:b w:val="1"/>
          <w:bCs w:val="1"/>
          <w:i w:val="1"/>
          <w:iCs w:val="1"/>
          <w:color w:val="auto"/>
        </w:rPr>
        <w:t>We depend on contractual arrangements with our VIE and its shareholders to operate a limited part of our business in China, which may not be as effective as direct ownership in providing operational control and otherwise have a material adverse effect as to our business.</w:t>
      </w:r>
    </w:p>
    <w:p>
      <w:pPr>
        <w:spacing w:after="0" w:line="17" w:lineRule="exact"/>
        <w:rPr>
          <w:sz w:val="20"/>
          <w:szCs w:val="20"/>
          <w:color w:val="auto"/>
        </w:rPr>
      </w:pPr>
    </w:p>
    <w:p>
      <w:pPr>
        <w:ind w:left="240" w:firstLine="438"/>
        <w:spacing w:after="0" w:line="267" w:lineRule="auto"/>
        <w:rPr>
          <w:sz w:val="20"/>
          <w:szCs w:val="20"/>
          <w:color w:val="auto"/>
        </w:rPr>
      </w:pPr>
      <w:r>
        <w:rPr>
          <w:rFonts w:ascii="Arial" w:cs="Arial" w:eastAsia="Arial" w:hAnsi="Arial"/>
          <w:sz w:val="17"/>
          <w:szCs w:val="17"/>
          <w:color w:val="auto"/>
        </w:rPr>
        <w:t>Although the vast majority of our business is conducted in Hong Kong, we depend on our VIE to conduct a limited part of our operations in China. For the years ended December 31, 2016 and 2017, we generated 2.9% and 1.5% of our total revenues through our VIE in China, respectively, whose assets accounted for 0.7% and 0.2% of our total assets during the same years, respectively. For a description of these contractual arrangements, see “Corporate History and Structure—Contractual Arrangements with Our VIE and Its Shareholders.” These contractual arrangements may not be as effective as direct ownership in providing us with control over our VIE. If our VIE or its shareholders fail to perform their respective obligations under these contractual arrangements, our recourse to the assets held by our VIE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our VIE, including such equity interest, may be put under court custody. As a consequence, we cannot be certain that the equity interest will be disposed pursuant to the contractual arrangement or ownership by the record holder of the equity interest.</w:t>
      </w:r>
    </w:p>
    <w:p>
      <w:pPr>
        <w:spacing w:after="0" w:line="186" w:lineRule="exact"/>
        <w:rPr>
          <w:sz w:val="20"/>
          <w:szCs w:val="20"/>
          <w:color w:val="auto"/>
        </w:rPr>
      </w:pPr>
    </w:p>
    <w:p>
      <w:pPr>
        <w:ind w:left="240" w:right="280" w:firstLine="438"/>
        <w:spacing w:after="0" w:line="277" w:lineRule="auto"/>
        <w:rPr>
          <w:sz w:val="20"/>
          <w:szCs w:val="20"/>
          <w:color w:val="auto"/>
        </w:rPr>
      </w:pPr>
      <w:r>
        <w:rPr>
          <w:rFonts w:ascii="Arial" w:cs="Arial" w:eastAsia="Arial" w:hAnsi="Arial"/>
          <w:sz w:val="17"/>
          <w:szCs w:val="17"/>
          <w:color w:val="auto"/>
        </w:rPr>
        <w:t>All of these contractual arrangements are governed by PRC law and provide for the resolution of disputes through arbitration in the PRC. Accordingly, these contracts would be interpreted in accordance with PRC laws and any disputes would be resolved in accordance with PRC legal procedures. The legal environment in the PRC is not as developed as in other jurisdictions, such as the United States. As a result, uncertainties in the PRC legal system could limit our ability to enforce these contractual arrangements. In the event that we are unable to</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457"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spacing w:after="0" w:line="272" w:lineRule="auto"/>
        <w:rPr>
          <w:sz w:val="20"/>
          <w:szCs w:val="20"/>
          <w:color w:val="auto"/>
        </w:rPr>
      </w:pPr>
      <w:r>
        <w:rPr>
          <w:rFonts w:ascii="Arial" w:cs="Arial" w:eastAsia="Arial" w:hAnsi="Arial"/>
          <w:sz w:val="17"/>
          <w:szCs w:val="17"/>
          <w:color w:val="auto"/>
        </w:rPr>
        <w:t>enforce these contractual arrangements, or if we suffer significant time delays or other obstacles in the process of enforcing these contractual arrangements, it would be very difficult to exert effective control over our VIE, and our ability to conduct our business and our financial condition and results of operations may be materially and adversely affected. See “—Risks Related to Doing Business in China—There are uncertainties regarding the interpretation and enforcement of PRC laws, rules and regulations.” In the event that we are unable to enforce these contractual arrangements, or if we suffer significant time delays or other obstacles in the process of enforcing these contractual arrangements, our business, financial condition and results of operations could be materially and adversely affected.</w:t>
      </w:r>
    </w:p>
    <w:p>
      <w:pPr>
        <w:spacing w:after="0" w:line="282" w:lineRule="exact"/>
        <w:rPr>
          <w:sz w:val="20"/>
          <w:szCs w:val="20"/>
          <w:color w:val="auto"/>
        </w:rPr>
      </w:pPr>
    </w:p>
    <w:p>
      <w:pPr>
        <w:ind w:left="240" w:right="140"/>
        <w:spacing w:after="0" w:line="275" w:lineRule="auto"/>
        <w:rPr>
          <w:sz w:val="20"/>
          <w:szCs w:val="20"/>
          <w:color w:val="auto"/>
        </w:rPr>
      </w:pPr>
      <w:r>
        <w:rPr>
          <w:rFonts w:ascii="Arial" w:cs="Arial" w:eastAsia="Arial" w:hAnsi="Arial"/>
          <w:sz w:val="18"/>
          <w:szCs w:val="18"/>
          <w:b w:val="1"/>
          <w:bCs w:val="1"/>
          <w:i w:val="1"/>
          <w:iCs w:val="1"/>
          <w:color w:val="auto"/>
        </w:rPr>
        <w:t>The shareholders of our VIE in China may have potential conflicts of interest with us, which may materially and adversely affect our business and financial condition.</w:t>
      </w:r>
    </w:p>
    <w:p>
      <w:pPr>
        <w:spacing w:after="0" w:line="63" w:lineRule="exact"/>
        <w:rPr>
          <w:sz w:val="20"/>
          <w:szCs w:val="20"/>
          <w:color w:val="auto"/>
        </w:rPr>
      </w:pPr>
    </w:p>
    <w:p>
      <w:pPr>
        <w:ind w:left="240" w:right="60" w:firstLine="438"/>
        <w:spacing w:after="0" w:line="292" w:lineRule="auto"/>
        <w:rPr>
          <w:sz w:val="20"/>
          <w:szCs w:val="20"/>
          <w:color w:val="auto"/>
        </w:rPr>
      </w:pPr>
      <w:r>
        <w:rPr>
          <w:rFonts w:ascii="Arial" w:cs="Arial" w:eastAsia="Arial" w:hAnsi="Arial"/>
          <w:sz w:val="16"/>
          <w:szCs w:val="16"/>
          <w:color w:val="auto"/>
        </w:rPr>
        <w:t>In connection with our operations in China, we depend on the shareholders of our VIE to abide by the obligations under such contractual arrangements. The interests of these shareholders in their individual capacities as the shareholders of our VIE may differ from the interests of our company as a whole, as what is in the best interests of our VIE, including matters such as whether to distribute dividends or to make other distributions to fund our offshore requirement, may not be in the best interests of our company. There can be no assurance that when conflicts of interest arise, any or all of these individuals will act in the best interests of our company or those conflicts of interest will be resolved in our favor. In addition, these individuals may breach or cause our VIE and its subsidiaries to breach or refuse to renew the existing contractual arrangements with us.</w:t>
      </w:r>
    </w:p>
    <w:p>
      <w:pPr>
        <w:spacing w:after="0" w:line="161" w:lineRule="exact"/>
        <w:rPr>
          <w:sz w:val="20"/>
          <w:szCs w:val="20"/>
          <w:color w:val="auto"/>
        </w:rPr>
      </w:pPr>
    </w:p>
    <w:p>
      <w:pPr>
        <w:ind w:left="240" w:firstLine="438"/>
        <w:spacing w:after="0" w:line="286" w:lineRule="auto"/>
        <w:rPr>
          <w:sz w:val="20"/>
          <w:szCs w:val="20"/>
          <w:color w:val="auto"/>
        </w:rPr>
      </w:pPr>
      <w:r>
        <w:rPr>
          <w:rFonts w:ascii="Arial" w:cs="Arial" w:eastAsia="Arial" w:hAnsi="Arial"/>
          <w:sz w:val="16"/>
          <w:szCs w:val="16"/>
          <w:color w:val="auto"/>
        </w:rPr>
        <w:t>Currently, we do not have arrangements to address potential conflicts of interest the shareholders of our VIE may encounter, on one hand, and as a beneficial owner of our company, on the other hand. We, however, could, at all times, exercise our option under the exclusive option agreement to cause them to transfer all of their equity ownership in our VIE to a PRC entity or individual designated by us as permitted by the then applicable PRC laws. In addition, if such conflicts of interest arise, we could also, in the capacity of attorney-in-fact of the then existing shareholders of our VIE as provided under the power of attorney agreements, directly appoint new directors of our VIE. We rely on the shareholders of our VIE to comply with PRC laws and regulations, which protect contracts and provide that directors and executive officers owe a duty of loyalty to our company and require them to avoid conflicts of interest and not to take advantage of their positions for personal gains, and the laws of the Cayman Islands, which provide that directors have a duty of care and a duty of loyalty to act honestly in good faith with a view to our best interests. However, the legal frameworks of China and the Cayman Islands do not provide guidance on resolving conflicts in the event of a conflict with another corporate governance regime. If we cannot resolve any conflicts of interest or disputes between us and the shareholders of our VIE, we would have to rely on legal proceedings, which could result in disruption of our business and subject us to substantial uncertainty as to the outcome of any such legal proceedings.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face risks related to natural disasters, health epidemics and other outbreaks, which could significantly disrupt our operations.</w:t>
      </w:r>
    </w:p>
    <w:p>
      <w:pPr>
        <w:spacing w:after="0" w:line="127" w:lineRule="exact"/>
        <w:rPr>
          <w:sz w:val="20"/>
          <w:szCs w:val="20"/>
          <w:color w:val="auto"/>
        </w:rPr>
      </w:pPr>
    </w:p>
    <w:p>
      <w:pPr>
        <w:ind w:left="240" w:right="40" w:firstLine="438"/>
        <w:spacing w:after="0" w:line="268" w:lineRule="auto"/>
        <w:rPr>
          <w:sz w:val="20"/>
          <w:szCs w:val="20"/>
          <w:color w:val="auto"/>
        </w:rPr>
      </w:pPr>
      <w:r>
        <w:rPr>
          <w:rFonts w:ascii="Arial" w:cs="Arial" w:eastAsia="Arial" w:hAnsi="Arial"/>
          <w:sz w:val="17"/>
          <w:szCs w:val="17"/>
          <w:color w:val="auto"/>
        </w:rPr>
        <w:t>Our business could be materially and adversely affected by natural disasters, health epidemics or other public safety concerns affecting the PRC and Hong Kong. Natural disasters may give rise to server interruptions, breakdowns, system failures, technology platform failures or internet failures, which could cause the loss or corruption of data or malfunctions of software or hardware as well as adversely affect our ability to operate our platform and provide services and solutions. Our business could also be adversely affected if our employees are affected by health epidemics. In addition, our results of operations could be adversely affected to the extent that any health epidemic harms the Chinese economy in general. Our headquarters are located in Shenzhen and Hong Kong, where most of our management and employees currently reside. Most of our system hardware and back-up systems are hosted in facilities located in Shenzhen and Hong Kong. Consequently, if any natural disasters, health epidemics or other public safety concerns were to affect Shenzhen and/or Hong Kong, our operation may experience material disruptions, which may materially and adversely affect our business, financial condition and results of operations.</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7"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19" w:lineRule="exact"/>
        <w:rPr>
          <w:sz w:val="20"/>
          <w:szCs w:val="20"/>
          <w:color w:val="auto"/>
        </w:rPr>
      </w:pPr>
    </w:p>
    <w:p>
      <w:pPr>
        <w:ind w:left="240" w:right="280"/>
        <w:spacing w:after="0" w:line="275" w:lineRule="auto"/>
        <w:rPr>
          <w:sz w:val="20"/>
          <w:szCs w:val="20"/>
          <w:color w:val="auto"/>
        </w:rPr>
      </w:pPr>
      <w:r>
        <w:rPr>
          <w:rFonts w:ascii="Arial" w:cs="Arial" w:eastAsia="Arial" w:hAnsi="Arial"/>
          <w:sz w:val="18"/>
          <w:szCs w:val="18"/>
          <w:b w:val="1"/>
          <w:bCs w:val="1"/>
          <w:i w:val="1"/>
          <w:iCs w:val="1"/>
          <w:color w:val="auto"/>
        </w:rPr>
        <w:t>Changes in the political and economic policies of the PRC government may materially and adversely affect our business, financial condition and results of operations and may result in our inability to sustain our growth and expansion strategies.</w:t>
      </w:r>
    </w:p>
    <w:p>
      <w:pPr>
        <w:spacing w:after="0" w:line="63" w:lineRule="exact"/>
        <w:rPr>
          <w:sz w:val="20"/>
          <w:szCs w:val="20"/>
          <w:color w:val="auto"/>
        </w:rPr>
      </w:pPr>
    </w:p>
    <w:p>
      <w:pPr>
        <w:ind w:left="240"/>
        <w:spacing w:after="0" w:line="288" w:lineRule="auto"/>
        <w:rPr>
          <w:sz w:val="20"/>
          <w:szCs w:val="20"/>
          <w:color w:val="auto"/>
        </w:rPr>
      </w:pPr>
      <w:r>
        <w:rPr>
          <w:rFonts w:ascii="Arial" w:cs="Arial" w:eastAsia="Arial" w:hAnsi="Arial"/>
          <w:sz w:val="16"/>
          <w:szCs w:val="16"/>
          <w:color w:val="auto"/>
        </w:rPr>
        <w:t>Our financial condition and results of operations are affected by economic, political and legal developments in the PRC. The PRC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by allocating resources, controlling payment of foreign currency-denominated obligations, setting monetary policy, regulating financial services and institutions and providing preferential treatment to particular industries or companies.</w:t>
      </w:r>
    </w:p>
    <w:p>
      <w:pPr>
        <w:spacing w:after="0" w:line="167" w:lineRule="exact"/>
        <w:rPr>
          <w:sz w:val="20"/>
          <w:szCs w:val="20"/>
          <w:color w:val="auto"/>
        </w:rPr>
      </w:pPr>
    </w:p>
    <w:p>
      <w:pPr>
        <w:ind w:left="240" w:right="20" w:firstLine="438"/>
        <w:spacing w:after="0" w:line="270" w:lineRule="auto"/>
        <w:rPr>
          <w:sz w:val="20"/>
          <w:szCs w:val="20"/>
          <w:color w:val="auto"/>
        </w:rPr>
      </w:pPr>
      <w:r>
        <w:rPr>
          <w:rFonts w:ascii="Arial" w:cs="Arial" w:eastAsia="Arial" w:hAnsi="Arial"/>
          <w:sz w:val="17"/>
          <w:szCs w:val="17"/>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operations could be materially and adversely affected by government control over capital investments or changes in tax regulations that are applicable to us. In addition, the PRC government has implemented in the past certain measures to control the pace of economic growth. These measures may cause decreased economic activity, which in turn could lead to a reduction in demand for our services and consequently have a material adverse effect on our businesses, financial condition and results of operations.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uncertainties regarding the interpretation and enforcement of PRC laws, rules and regulations.</w:t>
      </w:r>
    </w:p>
    <w:p>
      <w:pPr>
        <w:spacing w:after="0" w:line="115" w:lineRule="exact"/>
        <w:rPr>
          <w:sz w:val="20"/>
          <w:szCs w:val="20"/>
          <w:color w:val="auto"/>
        </w:rPr>
      </w:pPr>
    </w:p>
    <w:p>
      <w:pPr>
        <w:jc w:val="both"/>
        <w:ind w:left="240" w:right="180" w:firstLine="438"/>
        <w:spacing w:after="0" w:line="284" w:lineRule="auto"/>
        <w:rPr>
          <w:sz w:val="20"/>
          <w:szCs w:val="20"/>
          <w:color w:val="auto"/>
        </w:rPr>
      </w:pPr>
      <w:r>
        <w:rPr>
          <w:rFonts w:ascii="Arial" w:cs="Arial" w:eastAsia="Arial" w:hAnsi="Arial"/>
          <w:sz w:val="17"/>
          <w:szCs w:val="17"/>
          <w:color w:val="auto"/>
        </w:rPr>
        <w:t>A limited part of our operations is conducted in the PRC and is governed by PRC laws, rules and regulations. Our PRC subsidiaries and VIE are subject to laws, rules and regulations applicable to foreign investment in China. The PRC legal system is a civil law system based on written statutes. Unlike the common law system, prior court decisions may be cited for reference but have limited precedential value.</w:t>
      </w:r>
    </w:p>
    <w:p>
      <w:pPr>
        <w:spacing w:after="0" w:line="165" w:lineRule="exact"/>
        <w:rPr>
          <w:sz w:val="20"/>
          <w:szCs w:val="20"/>
          <w:color w:val="auto"/>
        </w:rPr>
      </w:pPr>
    </w:p>
    <w:p>
      <w:pPr>
        <w:ind w:left="240" w:right="20" w:firstLine="438"/>
        <w:spacing w:after="0" w:line="287" w:lineRule="auto"/>
        <w:rPr>
          <w:sz w:val="20"/>
          <w:szCs w:val="20"/>
          <w:color w:val="auto"/>
        </w:rPr>
      </w:pPr>
      <w:r>
        <w:rPr>
          <w:rFonts w:ascii="Arial" w:cs="Arial" w:eastAsia="Arial" w:hAnsi="Arial"/>
          <w:sz w:val="16"/>
          <w:szCs w:val="16"/>
          <w:color w:val="auto"/>
        </w:rPr>
        <w:t>In 1979, the PRC government began to promulgate a comprehensive system of laws, rules and regulations governing economic matters in general. The overall effect of legislation over the past three decades has significantly enhanced the protections afforded to various forms of foreign investment in China. However, China has not developed a fully integrated legal system,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w:t>
      </w:r>
    </w:p>
    <w:p>
      <w:pPr>
        <w:spacing w:after="0" w:line="168" w:lineRule="exact"/>
        <w:rPr>
          <w:sz w:val="20"/>
          <w:szCs w:val="20"/>
          <w:color w:val="auto"/>
        </w:rPr>
      </w:pPr>
    </w:p>
    <w:p>
      <w:pPr>
        <w:ind w:left="240" w:right="80" w:firstLine="438"/>
        <w:spacing w:after="0" w:line="262" w:lineRule="auto"/>
        <w:rPr>
          <w:sz w:val="20"/>
          <w:szCs w:val="20"/>
          <w:color w:val="auto"/>
        </w:rPr>
      </w:pPr>
      <w:r>
        <w:rPr>
          <w:rFonts w:ascii="Arial" w:cs="Arial" w:eastAsia="Arial" w:hAnsi="Arial"/>
          <w:sz w:val="18"/>
          <w:szCs w:val="18"/>
          <w:color w:val="auto"/>
        </w:rPr>
        <w:t>Any administrative and court proceedings in China may be protracted, resulting in substantial costs and diversion of resources and management attention. Since PRC administrative and court authorities have significant discretion in interpreting and implementing statutory and contractual terms, it may be more difficult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7"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00"/>
        <w:spacing w:after="0" w:line="262" w:lineRule="auto"/>
        <w:rPr>
          <w:sz w:val="20"/>
          <w:szCs w:val="20"/>
          <w:color w:val="auto"/>
        </w:rPr>
      </w:pPr>
      <w:r>
        <w:rPr>
          <w:rFonts w:ascii="Arial" w:cs="Arial" w:eastAsia="Arial" w:hAnsi="Arial"/>
          <w:sz w:val="18"/>
          <w:szCs w:val="18"/>
          <w:color w:val="auto"/>
        </w:rPr>
        <w:t>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financial condition and results of operations.</w:t>
      </w:r>
    </w:p>
    <w:p>
      <w:pPr>
        <w:spacing w:after="0" w:line="289" w:lineRule="exact"/>
        <w:rPr>
          <w:sz w:val="20"/>
          <w:szCs w:val="20"/>
          <w:color w:val="auto"/>
        </w:rPr>
      </w:pPr>
    </w:p>
    <w:p>
      <w:pPr>
        <w:ind w:left="240" w:right="80"/>
        <w:spacing w:after="0" w:line="262" w:lineRule="auto"/>
        <w:rPr>
          <w:sz w:val="20"/>
          <w:szCs w:val="20"/>
          <w:color w:val="auto"/>
        </w:rPr>
      </w:pPr>
      <w:r>
        <w:rPr>
          <w:rFonts w:ascii="Arial" w:cs="Arial" w:eastAsia="Arial" w:hAnsi="Arial"/>
          <w:sz w:val="18"/>
          <w:szCs w:val="18"/>
          <w:b w:val="1"/>
          <w:bCs w:val="1"/>
          <w:i w:val="1"/>
          <w:iCs w:val="1"/>
          <w:color w:val="auto"/>
        </w:rPr>
        <w:t>If the PRC government deems that the contractual arrangements in relation to our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74" w:lineRule="exact"/>
        <w:rPr>
          <w:sz w:val="20"/>
          <w:szCs w:val="20"/>
          <w:color w:val="auto"/>
        </w:rPr>
      </w:pPr>
    </w:p>
    <w:p>
      <w:pPr>
        <w:jc w:val="both"/>
        <w:ind w:left="240" w:right="60" w:firstLine="438"/>
        <w:spacing w:after="0" w:line="255" w:lineRule="auto"/>
        <w:rPr>
          <w:sz w:val="20"/>
          <w:szCs w:val="20"/>
          <w:color w:val="auto"/>
        </w:rPr>
      </w:pPr>
      <w:r>
        <w:rPr>
          <w:rFonts w:ascii="Arial" w:cs="Arial" w:eastAsia="Arial" w:hAnsi="Arial"/>
          <w:sz w:val="18"/>
          <w:szCs w:val="18"/>
          <w:color w:val="auto"/>
        </w:rPr>
        <w:t>The PRC government regulates internet-based businesses through strict business licensing requirements and other government regulations. These laws and regulations also include limitations on foreign ownership of PRC companies that engage in internet-based businesses. Specifically, the Special Administrative Measures for Entrance of Foreign Investment (Negative List) (2018 Version) provides that foreign investors are generally not allowed to own more than 50% of the equity interests in a value-added telecommunication service provider other than an e-commerce service provider which does not apply to us.</w:t>
      </w:r>
    </w:p>
    <w:p>
      <w:pPr>
        <w:spacing w:after="0" w:line="189" w:lineRule="exact"/>
        <w:rPr>
          <w:sz w:val="20"/>
          <w:szCs w:val="20"/>
          <w:color w:val="auto"/>
        </w:rPr>
      </w:pPr>
    </w:p>
    <w:p>
      <w:pPr>
        <w:ind w:left="240" w:right="100" w:firstLine="438"/>
        <w:spacing w:after="0" w:line="286" w:lineRule="auto"/>
        <w:rPr>
          <w:sz w:val="20"/>
          <w:szCs w:val="20"/>
          <w:color w:val="auto"/>
        </w:rPr>
      </w:pPr>
      <w:r>
        <w:rPr>
          <w:rFonts w:ascii="Arial" w:cs="Arial" w:eastAsia="Arial" w:hAnsi="Arial"/>
          <w:sz w:val="16"/>
          <w:szCs w:val="16"/>
          <w:color w:val="auto"/>
        </w:rPr>
        <w:t>Because we are an exempted company incorporated in the Cayman Islands, we are classified as a foreign enterprise under PRC laws and regulations, and our wholly-owned PRC subsidiaries, Shen Si Network Technology (Beijing) Co., Ltd., or Shensi Beijing, Futu Internet Technology (Shenzhen) Co., Ltd., Shenzhen Shidai Futu Consulting Co., Ltd and Shenzhen Qianhai Fuzhitu Investment Consulting Management Co. Ltd are foreign-invested enterprises, or FIEs. To comply with PRC laws and regulations, we conduct our business in China through our VIE and its affiliates. Shensi Beijing has entered into a series of contractual arrangements with our VIE and its shareholders. In addition, pursuant to the resolutions of all shareholders of Futu Holdings Limited and the resolutions of the board of directors of Futu Holdings Limited, the board of directors of Futu Holdings Limited or any officer authorized by such board shall cause Shensi Beijing to exercise Shensi Beijing’s rights under the power of attorney agreements entered into among Shensi Beijing, Shenzhen Futu and the shareholders of Shenzhen Futu, as well as Shensi Beijing’s rights under the exclusive option agreement between Shensi Beijing and Shenzhen Futu. As a result of these resolutions and the provision of unlimited financial support from our Company to Shenzhen Futu, we are considered to be its primary beneficiary for accounting purposes under U.S. GAAP. For a description of these contractual arrangements, see “Corporate History and Structure—Contractual Arrangements with Our VIE and Its Shareholders.”</w:t>
      </w:r>
    </w:p>
    <w:p>
      <w:pPr>
        <w:spacing w:after="0" w:line="166"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color w:val="auto"/>
        </w:rPr>
        <w:t>We believe that our corporate structure and contractual arrangements comply with the current applicable PRC laws and regulations. Our PRC legal counsel, based on its understanding of the relevant laws and regulations currently in effect, is of the opinion that each of the contracts among our wholly-owned PRC subsidiary, our VIE and its shareholders is valid, binding and enforceable in accordance with its terms. However, as there are substantial uncertainties regarding the interpretation and application of PRC laws and regulations, including the Regulations on Mergers and Acquisitions of Domestic Enterprises by Foreign Investors, or the M&amp;A Rules and the Telecommunications Regulations and the relevant regulatory measures concerning the telecommunications industry, there can be no assurance that the PRC government authorities, such as the Ministry of Commerce, or the MOFCOM, or the MIIT, or other authorities that regulate the telecommunications industry, would agree that our corporate structure or any of the above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relevant government authorities have broad discretion in interpreting these laws and regulations.</w:t>
      </w:r>
    </w:p>
    <w:p>
      <w:pPr>
        <w:spacing w:after="0" w:line="180" w:lineRule="exact"/>
        <w:rPr>
          <w:sz w:val="20"/>
          <w:szCs w:val="20"/>
          <w:color w:val="auto"/>
        </w:rPr>
      </w:pPr>
    </w:p>
    <w:p>
      <w:pPr>
        <w:ind w:left="240" w:right="100" w:firstLine="438"/>
        <w:spacing w:after="0" w:line="257" w:lineRule="auto"/>
        <w:rPr>
          <w:sz w:val="20"/>
          <w:szCs w:val="20"/>
          <w:color w:val="auto"/>
        </w:rPr>
      </w:pPr>
      <w:r>
        <w:rPr>
          <w:rFonts w:ascii="Arial" w:cs="Arial" w:eastAsia="Arial" w:hAnsi="Arial"/>
          <w:sz w:val="18"/>
          <w:szCs w:val="18"/>
          <w:color w:val="auto"/>
        </w:rPr>
        <w:t>If our corporate structure and contractual arrangements are deemed by the MIIT or the MOFCOM or other regulators having competent authority to be illegal, either in whole or in part, we may lose control of our VIE and have to modify such structure to comply with regulatory requirements. However, there can be no assurance that we can achieve this without material disruption to our business. Further, if our corporate structure and contractual</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7"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600"/>
        <w:spacing w:after="0" w:line="275" w:lineRule="auto"/>
        <w:rPr>
          <w:sz w:val="20"/>
          <w:szCs w:val="20"/>
          <w:color w:val="auto"/>
        </w:rPr>
      </w:pPr>
      <w:r>
        <w:rPr>
          <w:rFonts w:ascii="Arial" w:cs="Arial" w:eastAsia="Arial" w:hAnsi="Arial"/>
          <w:sz w:val="18"/>
          <w:szCs w:val="18"/>
          <w:color w:val="auto"/>
        </w:rPr>
        <w:t>arrangements are found to be in violation of any existing or future PRC laws or regulations, the relevant regulatory authorities would have broad discretion in dealing with such violations, including:</w:t>
      </w:r>
    </w:p>
    <w:p>
      <w:pPr>
        <w:spacing w:after="0" w:line="76" w:lineRule="exact"/>
        <w:rPr>
          <w:sz w:val="20"/>
          <w:szCs w:val="20"/>
          <w:color w:val="auto"/>
        </w:rPr>
      </w:pPr>
    </w:p>
    <w:p>
      <w:pPr>
        <w:ind w:left="1100" w:hanging="327"/>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revoking our business and operating licenses;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levying fines on us;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confiscating any of our income that they deem to be obtained through illegal operations;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shutting down our services;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discontinuing or restricting our operations in China;</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imposing conditions or requirements with which we may not be able to comply;</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change our corporate structure and contractual arrangements;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restricting or prohibiting our use of the proceeds from overseas offering to finance our PRC VIE’s business and operations; and</w:t>
      </w:r>
    </w:p>
    <w:p>
      <w:pPr>
        <w:spacing w:after="0" w:line="140" w:lineRule="exact"/>
        <w:rPr>
          <w:rFonts w:ascii="Arial" w:cs="Arial" w:eastAsia="Arial" w:hAnsi="Arial"/>
          <w:sz w:val="17"/>
          <w:szCs w:val="17"/>
          <w:color w:val="auto"/>
        </w:rPr>
      </w:pPr>
    </w:p>
    <w:p>
      <w:pPr>
        <w:ind w:left="1100" w:hanging="327"/>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taking other regulatory or enforcement actions that could be harmful to our business.</w:t>
      </w:r>
    </w:p>
    <w:p>
      <w:pPr>
        <w:spacing w:after="0" w:line="223"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Furthermore, new PRC laws, rules and regulations may be introduced to impose additional requirements that may be applicable to our corporate structure and contractual arrangements. See “—Substantial uncertainties exist with respect to the enactment timetable and final content of a draft new PRC Foreign Investment Law and how it may impact the viability of our current corporate structure and operations.” Occurrence of any of these events could materially and adversely affect our business, financial condition and results of operations. In addition, if the imposition of any of these penalties or requirement to restructure our corporate structure causes us to lose the rights to direct the activities of our VIE or our right to receive their economic benefits, we would no longer be able to consolidate the financial results of such VIE in our consolidated financial statements. See “Corporate History and Structure—Contractual Arrangements with Our VIE and Its Shareholders.”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contractual arrangements with our VIE may result in adverse tax consequences to us.</w:t>
      </w:r>
    </w:p>
    <w:p>
      <w:pPr>
        <w:spacing w:after="0" w:line="115" w:lineRule="exact"/>
        <w:rPr>
          <w:sz w:val="20"/>
          <w:szCs w:val="20"/>
          <w:color w:val="auto"/>
        </w:rPr>
      </w:pPr>
    </w:p>
    <w:p>
      <w:pPr>
        <w:ind w:left="240" w:right="220" w:firstLine="438"/>
        <w:spacing w:after="0" w:line="255" w:lineRule="auto"/>
        <w:rPr>
          <w:sz w:val="20"/>
          <w:szCs w:val="20"/>
          <w:color w:val="auto"/>
        </w:rPr>
      </w:pPr>
      <w:r>
        <w:rPr>
          <w:rFonts w:ascii="Arial" w:cs="Arial" w:eastAsia="Arial" w:hAnsi="Arial"/>
          <w:sz w:val="18"/>
          <w:szCs w:val="18"/>
          <w:color w:val="auto"/>
        </w:rPr>
        <w:t>We could face material and adverse tax consequences if the PRC tax authorities determine that our contractual arrangements with our VIE were not made on an arm’s length basis and adjust our income and expenses for PRC tax purposes by requiring a transfer pricing adjustment. A transfer pricing adjustment could adversely affect us by (i) increasing the tax liabilities of our VIE without reducing the tax liability of our subsidiaries, which could further result in late payment fees and other penalties to our VIE for underpaid taxes; or (ii) limiting the ability of our VIE to obtain or maintain preferential tax treatments and other financial incentives.</w:t>
      </w:r>
    </w:p>
    <w:p>
      <w:pPr>
        <w:spacing w:after="0" w:line="297" w:lineRule="exact"/>
        <w:rPr>
          <w:sz w:val="20"/>
          <w:szCs w:val="20"/>
          <w:color w:val="auto"/>
        </w:rPr>
      </w:pPr>
    </w:p>
    <w:p>
      <w:pPr>
        <w:ind w:left="240"/>
        <w:spacing w:after="0" w:line="275" w:lineRule="auto"/>
        <w:rPr>
          <w:sz w:val="20"/>
          <w:szCs w:val="20"/>
          <w:color w:val="auto"/>
        </w:rPr>
      </w:pPr>
      <w:r>
        <w:rPr>
          <w:rFonts w:ascii="Arial" w:cs="Arial" w:eastAsia="Arial" w:hAnsi="Arial"/>
          <w:sz w:val="18"/>
          <w:szCs w:val="18"/>
          <w:b w:val="1"/>
          <w:bCs w:val="1"/>
          <w:i w:val="1"/>
          <w:iCs w:val="1"/>
          <w:color w:val="auto"/>
        </w:rPr>
        <w:t>Substantial uncertainties exist with respect to the enactment timetable and final content of a draft new PRC Foreign Investment Law and how it may impact the viability of our current corporate structure and operations.</w:t>
      </w:r>
    </w:p>
    <w:p>
      <w:pPr>
        <w:spacing w:after="0" w:line="63" w:lineRule="exact"/>
        <w:rPr>
          <w:sz w:val="20"/>
          <w:szCs w:val="20"/>
          <w:color w:val="auto"/>
        </w:rPr>
      </w:pPr>
    </w:p>
    <w:p>
      <w:pPr>
        <w:ind w:left="240" w:right="60" w:firstLine="438"/>
        <w:spacing w:after="0" w:line="270" w:lineRule="auto"/>
        <w:rPr>
          <w:sz w:val="20"/>
          <w:szCs w:val="20"/>
          <w:color w:val="auto"/>
        </w:rPr>
      </w:pPr>
      <w:r>
        <w:rPr>
          <w:rFonts w:ascii="Arial" w:cs="Arial" w:eastAsia="Arial" w:hAnsi="Arial"/>
          <w:sz w:val="17"/>
          <w:szCs w:val="17"/>
          <w:color w:val="auto"/>
        </w:rPr>
        <w:t>In January 2015, the Ministry of Commerce, or MOFCOM, published a discussion draft of the Foreign Investment Law for public review and comment. Among other things, the draft Foreign Investment Law expands the definition of foreign investment and introduces the principle of “actual control” in determining whether a company should be treated as a foreign invested enterprise, or FIE. It specifically provides that entities established in China without direct foreign equity ownership but “controlled” by foreign investors, through contract or trust for example, will be treated as FIEs. Once an entity falls within the definition of FIE, it may be subject to foreign investment “restrictions” or “prohibitions” set forth in a “negative list” to be separately issued by the State Council later. If an FIE proposes to conduct business in an industry subject to foreign investment “restrictions” in the “negative list,” the FIE must go through a pre-approval process.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7"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40" w:firstLine="438"/>
        <w:spacing w:after="0" w:line="295" w:lineRule="auto"/>
        <w:rPr>
          <w:sz w:val="20"/>
          <w:szCs w:val="20"/>
          <w:color w:val="auto"/>
        </w:rPr>
      </w:pPr>
      <w:r>
        <w:rPr>
          <w:rFonts w:ascii="Arial" w:cs="Arial" w:eastAsia="Arial" w:hAnsi="Arial"/>
          <w:sz w:val="16"/>
          <w:szCs w:val="16"/>
          <w:color w:val="auto"/>
        </w:rPr>
        <w:t>Under the draft Foreign Investment Law, variable interest entities that are controlled via contractual arrangements would be deemed as FIEs if they are ultimately “controlled” by foreign investors, and any of their operations in the industry categories included in the “negative list” without MOFCOM pre-approval may be considered illegal. Conversely, for any companies with a variable interest entity structure engaged in a “restricted” business included in the “negative list,” the variable interest entity structure may be deemed legitimate if it is ultimately controlled by PRC nationals. The draft Foreign Investment Law is not specific on what will happen to companies with an existing variable interest entity structure.</w:t>
      </w:r>
    </w:p>
    <w:p>
      <w:pPr>
        <w:spacing w:after="0" w:line="158" w:lineRule="exact"/>
        <w:rPr>
          <w:sz w:val="20"/>
          <w:szCs w:val="20"/>
          <w:color w:val="auto"/>
        </w:rPr>
      </w:pPr>
    </w:p>
    <w:p>
      <w:pPr>
        <w:ind w:left="240" w:right="140" w:firstLine="438"/>
        <w:spacing w:after="0" w:line="270" w:lineRule="auto"/>
        <w:rPr>
          <w:sz w:val="20"/>
          <w:szCs w:val="20"/>
          <w:color w:val="auto"/>
        </w:rPr>
      </w:pPr>
      <w:r>
        <w:rPr>
          <w:rFonts w:ascii="Arial" w:cs="Arial" w:eastAsia="Arial" w:hAnsi="Arial"/>
          <w:sz w:val="17"/>
          <w:szCs w:val="17"/>
          <w:color w:val="auto"/>
        </w:rPr>
        <w:t>The internet content service that we conduct through our VIE and its subsidiaries are subject to foreign investment restrictions set forth in the Special Management Measures (Negative List), or Negative List (2018 version), for the Access of Foreign Investment issued by MOFCOM and the National Development and Reform Commission which became effective in July 2018. It is still unclear whether the “negative list” under the Foreign Investment Law when it is signed into law will be different from the Negative List (2018 version). Substantial uncertainties exist with respect to the enactment timetable and final content of the draft Foreign Investment Law. To date, there is no timetable for the enactment of the draft Foreign Investment Law. If the enacted version of the Foreign Investment Law and the final “negative list” mandate further actions to be taken by us, such as a MOFCOM pre-approval process, there is no assurance that we can obtain such pre-approval on a timely basis, or at all.</w:t>
      </w:r>
    </w:p>
    <w:p>
      <w:pPr>
        <w:spacing w:after="0" w:line="287" w:lineRule="exact"/>
        <w:rPr>
          <w:sz w:val="20"/>
          <w:szCs w:val="20"/>
          <w:color w:val="auto"/>
        </w:rPr>
      </w:pPr>
    </w:p>
    <w:p>
      <w:pPr>
        <w:ind w:left="240" w:right="560"/>
        <w:spacing w:after="0" w:line="262" w:lineRule="auto"/>
        <w:rPr>
          <w:sz w:val="20"/>
          <w:szCs w:val="20"/>
          <w:color w:val="auto"/>
        </w:rPr>
      </w:pPr>
      <w:r>
        <w:rPr>
          <w:rFonts w:ascii="Arial" w:cs="Arial" w:eastAsia="Arial" w:hAnsi="Arial"/>
          <w:sz w:val="18"/>
          <w:szCs w:val="18"/>
          <w:b w:val="1"/>
          <w:bCs w:val="1"/>
          <w:i w:val="1"/>
          <w:iCs w:val="1"/>
          <w:color w:val="auto"/>
        </w:rPr>
        <w:t>The approval of the China Securities Regulatory Commission, or the CSRC, may be required in connection with this offering under a PRC regulation. The regulation also establishes more complex procedures for acquisitions conducted by foreign investors that could make it more difficult for us to grow through acquisitions.</w:t>
      </w:r>
    </w:p>
    <w:p>
      <w:pPr>
        <w:spacing w:after="0" w:line="74" w:lineRule="exact"/>
        <w:rPr>
          <w:sz w:val="20"/>
          <w:szCs w:val="20"/>
          <w:color w:val="auto"/>
        </w:rPr>
      </w:pPr>
    </w:p>
    <w:p>
      <w:pPr>
        <w:ind w:left="240" w:right="20" w:firstLine="438"/>
        <w:spacing w:after="0" w:line="282" w:lineRule="auto"/>
        <w:rPr>
          <w:sz w:val="20"/>
          <w:szCs w:val="20"/>
          <w:color w:val="auto"/>
        </w:rPr>
      </w:pPr>
      <w:r>
        <w:rPr>
          <w:rFonts w:ascii="Arial" w:cs="Arial" w:eastAsia="Arial" w:hAnsi="Arial"/>
          <w:sz w:val="16"/>
          <w:szCs w:val="16"/>
          <w:color w:val="auto"/>
        </w:rPr>
        <w:t>On August 8, 2006, six PRC regulatory agencies, including the China Securities Regulatory Commission, or the CSRC, promulgated the M&amp;A Rules, which became effective on September 8, 2006 and was amended on June 22, 2009. This regulation, among other things, requires offshore special purpose vehicles, or SPVs, formed for the purpose of an overseas listing and controlled by PRC companies or individuals, to obtain the CSRC approval prior to listing their securities on an overseas stock 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 Our PRC legal counsel, CM Law Firm, has advised us that, based on their understanding of the current PRC laws, the CSRC approval is not required under the M&amp;A Rules in the context of this offering because (i) the CSRC currently has not issued any definitive rule or interpretation concerning whether offerings like ours under this prospectus are subject to this regulation; (ii) our wholly owned PRC subsidiaries were established by foreign direct investment, rather than through a merger or acquisition of a domestic company as defined under the M&amp;A Rules; and</w:t>
      </w:r>
    </w:p>
    <w:p>
      <w:pPr>
        <w:spacing w:after="0" w:line="1" w:lineRule="exact"/>
        <w:rPr>
          <w:sz w:val="20"/>
          <w:szCs w:val="20"/>
          <w:color w:val="auto"/>
        </w:rPr>
      </w:pPr>
    </w:p>
    <w:p>
      <w:pPr>
        <w:ind w:left="240" w:right="160" w:hanging="4"/>
        <w:spacing w:after="0" w:line="258" w:lineRule="auto"/>
        <w:tabs>
          <w:tab w:leader="none" w:pos="5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explicit provision in the M&amp;A Rules classifies the contractual arrangements between us and the VIE as a type of acquisition transaction falling under the M&amp;A Rules.</w:t>
      </w:r>
    </w:p>
    <w:p>
      <w:pPr>
        <w:spacing w:after="0" w:line="185"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color w:val="auto"/>
        </w:rPr>
        <w:t>However, we have been advised by our PRC legal counsel that there are uncertainties regarding the interpretation and application of the PRC law, and there can be no assurance that the PRC government will ultimately take a view that is not contrary to the above opinion of our PRC legal counsel. If it is determined that the CSRC approval is required for this offering, we may face sanctions by the CSRC or other PRC regulatory agencies for failure to seek the CSRC approval for this offering. These sanctions may include fines and penalties on our operations in the PRC although, to our knowledge, no definitive rules or interpretations have been issued to determine or quantify such fines or penalties, delays or restrictions on the repatriation of the proceeds from this offering into the PRC, restrictions on or prohibition of the payments or remittance of dividends by our PRC subsidiaries, or other actions that may have a material adverse effect on our business and the trading price of our ADSs. The CSRC or other PRC regulatory agencies may also take actions requiring us, or making it advisable to us, to halt this offering before the settlement and delivery of the ADSs that we are offering. Consequently, if you</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240" w:top="458"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20"/>
        <w:spacing w:after="0" w:line="257" w:lineRule="auto"/>
        <w:rPr>
          <w:sz w:val="20"/>
          <w:szCs w:val="20"/>
          <w:color w:val="auto"/>
        </w:rPr>
      </w:pPr>
      <w:r>
        <w:rPr>
          <w:rFonts w:ascii="Arial" w:cs="Arial" w:eastAsia="Arial" w:hAnsi="Arial"/>
          <w:sz w:val="18"/>
          <w:szCs w:val="18"/>
          <w:color w:val="auto"/>
        </w:rPr>
        <w:t>engage in market trading or other activities in anticipation of and prior to the settlement and delivery of the ADSs we are offering, you would be doing so at the risk that the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w:t>
      </w:r>
    </w:p>
    <w:p>
      <w:pPr>
        <w:spacing w:after="0" w:line="295" w:lineRule="exact"/>
        <w:rPr>
          <w:sz w:val="20"/>
          <w:szCs w:val="20"/>
          <w:color w:val="auto"/>
        </w:rPr>
      </w:pPr>
    </w:p>
    <w:p>
      <w:pPr>
        <w:ind w:left="240" w:right="20"/>
        <w:spacing w:after="0" w:line="262" w:lineRule="auto"/>
        <w:rPr>
          <w:sz w:val="20"/>
          <w:szCs w:val="20"/>
          <w:color w:val="auto"/>
        </w:rPr>
      </w:pPr>
      <w:r>
        <w:rPr>
          <w:rFonts w:ascii="Arial" w:cs="Arial" w:eastAsia="Arial" w:hAnsi="Arial"/>
          <w:sz w:val="18"/>
          <w:szCs w:val="18"/>
          <w:b w:val="1"/>
          <w:bCs w:val="1"/>
          <w:i w:val="1"/>
          <w:iCs w:val="1"/>
          <w:color w:val="auto"/>
        </w:rPr>
        <w:t>PRC regulations relating to investments in offshore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4" w:lineRule="exact"/>
        <w:rPr>
          <w:sz w:val="20"/>
          <w:szCs w:val="20"/>
          <w:color w:val="auto"/>
        </w:rPr>
      </w:pPr>
    </w:p>
    <w:p>
      <w:pPr>
        <w:ind w:left="240" w:right="20" w:firstLine="438"/>
        <w:spacing w:after="0" w:line="292" w:lineRule="auto"/>
        <w:rPr>
          <w:sz w:val="20"/>
          <w:szCs w:val="20"/>
          <w:color w:val="auto"/>
        </w:rPr>
      </w:pPr>
      <w:r>
        <w:rPr>
          <w:rFonts w:ascii="Arial" w:cs="Arial" w:eastAsia="Arial" w:hAnsi="Arial"/>
          <w:sz w:val="16"/>
          <w:szCs w:val="16"/>
          <w:color w:val="auto"/>
        </w:rPr>
        <w:t>In July 2014, SAFE promulgated the Circular on Relevant Issues Concerning Foreign Exchange Control on Domestic Residents’ Offshore Investment and Financing and Roundtrip Investment through Special Purpose Vehicles, or SAFE Circular 37, which replaces the previous SAFE Circular 75. SAFE Circular 37 requires PRC residents, including PRC individuals and PRC corporate entities, to register with SAFE or its local branches in connection with their direct or indirect offshore investment activities. See “Regulations—Overview of the Laws and Regulations Relating to Our Business and Operations in China—Regulations on Foreign Exchange Registration of Overseas Investment by PRC Residents.” SAFE Circular 37 is applicable to our shareholders who are PRC residents and may be applicable to any offshore acquisitions that we may make in the future.</w:t>
      </w:r>
    </w:p>
    <w:p>
      <w:pPr>
        <w:spacing w:after="0" w:line="161" w:lineRule="exact"/>
        <w:rPr>
          <w:sz w:val="20"/>
          <w:szCs w:val="20"/>
          <w:color w:val="auto"/>
        </w:rPr>
      </w:pPr>
    </w:p>
    <w:p>
      <w:pPr>
        <w:ind w:left="240" w:firstLine="438"/>
        <w:spacing w:after="0" w:line="283" w:lineRule="auto"/>
        <w:rPr>
          <w:sz w:val="20"/>
          <w:szCs w:val="20"/>
          <w:color w:val="auto"/>
        </w:rPr>
      </w:pPr>
      <w:r>
        <w:rPr>
          <w:rFonts w:ascii="Arial" w:cs="Arial" w:eastAsia="Arial" w:hAnsi="Arial"/>
          <w:sz w:val="16"/>
          <w:szCs w:val="16"/>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material change. Moreover, any subsidiary of such SPV in China is required to urge the PRC resident shareholders to update their registration with the local branch of SAFE to reflect any material change.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 We have used our best efforts to notify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392" w:lineRule="exact"/>
        <w:rPr>
          <w:sz w:val="20"/>
          <w:szCs w:val="20"/>
          <w:color w:val="auto"/>
        </w:rPr>
      </w:pPr>
    </w:p>
    <w:p>
      <w:pPr>
        <w:ind w:left="240" w:right="80" w:firstLine="438"/>
        <w:spacing w:after="0" w:line="255" w:lineRule="auto"/>
        <w:rPr>
          <w:sz w:val="20"/>
          <w:szCs w:val="20"/>
          <w:color w:val="auto"/>
        </w:rPr>
      </w:pPr>
      <w:r>
        <w:rPr>
          <w:rFonts w:ascii="Arial" w:cs="Arial" w:eastAsia="Arial" w:hAnsi="Arial"/>
          <w:sz w:val="18"/>
          <w:szCs w:val="18"/>
          <w:color w:val="auto"/>
        </w:rPr>
        <w:t>Furthermore, as these foreign exchange and outbound investment related regulations are relatively new and their interpretation and implementation has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7"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77" w:lineRule="auto"/>
        <w:rPr>
          <w:sz w:val="20"/>
          <w:szCs w:val="20"/>
          <w:color w:val="auto"/>
        </w:rPr>
      </w:pPr>
      <w:r>
        <w:rPr>
          <w:rFonts w:ascii="Arial" w:cs="Arial" w:eastAsia="Arial" w:hAnsi="Arial"/>
          <w:sz w:val="17"/>
          <w:szCs w:val="17"/>
          <w:color w:val="auto"/>
        </w:rPr>
        <w:t>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79" w:lineRule="exact"/>
        <w:rPr>
          <w:sz w:val="20"/>
          <w:szCs w:val="20"/>
          <w:color w:val="auto"/>
        </w:rPr>
      </w:pPr>
    </w:p>
    <w:p>
      <w:pPr>
        <w:ind w:left="240" w:right="100"/>
        <w:spacing w:after="0" w:line="275" w:lineRule="auto"/>
        <w:rPr>
          <w:sz w:val="20"/>
          <w:szCs w:val="20"/>
          <w:color w:val="auto"/>
        </w:rPr>
      </w:pPr>
      <w:r>
        <w:rPr>
          <w:rFonts w:ascii="Arial" w:cs="Arial" w:eastAsia="Arial" w:hAnsi="Arial"/>
          <w:sz w:val="18"/>
          <w:szCs w:val="18"/>
          <w:b w:val="1"/>
          <w:bCs w:val="1"/>
          <w:i w:val="1"/>
          <w:iCs w:val="1"/>
          <w:color w:val="auto"/>
        </w:rPr>
        <w:t>Any failure to comply with PRC regulations regarding our employee share incentive plans may subject the PRC plan participants or us to fines and other legal or administrative sanctions.</w:t>
      </w:r>
    </w:p>
    <w:p>
      <w:pPr>
        <w:spacing w:after="0" w:line="63" w:lineRule="exact"/>
        <w:rPr>
          <w:sz w:val="20"/>
          <w:szCs w:val="20"/>
          <w:color w:val="auto"/>
        </w:rPr>
      </w:pPr>
    </w:p>
    <w:p>
      <w:pPr>
        <w:ind w:left="240" w:right="20" w:firstLine="438"/>
        <w:spacing w:after="0" w:line="283" w:lineRule="auto"/>
        <w:rPr>
          <w:sz w:val="20"/>
          <w:szCs w:val="20"/>
          <w:color w:val="auto"/>
        </w:rPr>
      </w:pPr>
      <w:r>
        <w:rPr>
          <w:rFonts w:ascii="Arial" w:cs="Arial" w:eastAsia="Arial" w:hAnsi="Arial"/>
          <w:sz w:val="16"/>
          <w:szCs w:val="16"/>
          <w:color w:val="auto"/>
        </w:rPr>
        <w:t>Under the applicable regulations and SAFE rules, PRC citizens who participate in an employee stock ownership plan or a stock option plan in an overseas publicly listed company are required to register with SAFE and complete certain other procedures. In February 2012, SAFE promulgated the Notices on Issues concerning the Foreign Exchange Administration for Domestic Individuals Participating in Stock Incentive Plans of Overseas Publicly-Listed Companies, or the Stock Option Rules, which replaced the Application Procedures of Foreign Exchange Administration for Domestic Individuals Participating in Employee Stock Ownership Plan or Stock Option Plans of Overseas Publicly-Listed Companies issued by SAFE in March 2007. Pursuant to the Stock Option Rules, if a PRC resident participates in any stock incentive plan of an overseas publicly-listed company, a qualified PRC domestic agent must, among other things, file on behalf of such participant an application with SAFE to conduct the SAFE registration with respect to such stock incentive plan and obtain approval for an annual allowance with respect to the purchase of foreign exchange in connection with the exercise or sale of stock options or stock such participant holds. Such participating PRC residents’ foreign exchange income received from the sale of stock and dividends distributed by the overseas publicly-listed company must be fully remitted into a PRC collective foreign currency account opened and managed by the PRC agent before distribution to such participants. We and our PRC resident employees who have been granted stock options or other share-based incentives of our Company will be subject to the Stock Option Rules when our Company becomes an overseas listed company upon the completion of this offering. If we or our PRC resident participants fail to comply with these regulations, we and/or our PRC resident participants may be subject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“Regulation—Overview of the Laws and Regulations Relating to Our Business and Operations in China—Regulations on Employee Share Incentive Plans of Overseas Publicly-Listed Company.”</w:t>
      </w:r>
    </w:p>
    <w:p>
      <w:pPr>
        <w:spacing w:after="0" w:line="286" w:lineRule="exact"/>
        <w:rPr>
          <w:sz w:val="20"/>
          <w:szCs w:val="20"/>
          <w:color w:val="auto"/>
        </w:rPr>
      </w:pPr>
    </w:p>
    <w:p>
      <w:pPr>
        <w:jc w:val="both"/>
        <w:ind w:left="240" w:right="160"/>
        <w:spacing w:after="0" w:line="262"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or additional capital contributions to our PRC subsidiaries and our VIE and its subsidiaries.</w:t>
      </w:r>
    </w:p>
    <w:p>
      <w:pPr>
        <w:spacing w:after="0" w:line="74" w:lineRule="exact"/>
        <w:rPr>
          <w:sz w:val="20"/>
          <w:szCs w:val="20"/>
          <w:color w:val="auto"/>
        </w:rPr>
      </w:pPr>
    </w:p>
    <w:p>
      <w:pPr>
        <w:ind w:left="240" w:right="80" w:firstLine="438"/>
        <w:spacing w:after="0" w:line="286" w:lineRule="auto"/>
        <w:rPr>
          <w:sz w:val="20"/>
          <w:szCs w:val="20"/>
          <w:color w:val="auto"/>
        </w:rPr>
      </w:pPr>
      <w:r>
        <w:rPr>
          <w:rFonts w:ascii="Arial" w:cs="Arial" w:eastAsia="Arial" w:hAnsi="Arial"/>
          <w:sz w:val="16"/>
          <w:szCs w:val="16"/>
          <w:color w:val="auto"/>
        </w:rPr>
        <w:t>We are an offshore holding company with some of our operations conducted in China. We may make loans to our PRC subsidiaries and VIE subject to the approval, registration, and filing with governmental authorities and limitation of amount, or we may make additional capital contributions to our wholly foreign-owned subsidiaries in China. Any loans to our wholly foreign-owned subsidiaries in China, which are treated as foreign-invested enterprises under PRC law, are subject to foreign exchange loan registrations with the National Development and Reform Commission and SAFE or its local branches.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7"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or filings on a timely basis, if at all, with respect to future loans by us to our PRC subsidiary or VIE or with respect to future capital contributions by us to our PRC subsidiary. If we fail to complete such registrations or obtain such approvals, our ability to use the proceeds from this offering and to capitalize or otherwise fund our PRC operations may be negatively affected, which could adversely affect our liquidity and our ability to fund and expand our business.</w:t>
      </w:r>
    </w:p>
    <w:p>
      <w:pPr>
        <w:spacing w:after="0" w:line="297" w:lineRule="exact"/>
        <w:rPr>
          <w:sz w:val="20"/>
          <w:szCs w:val="20"/>
          <w:color w:val="auto"/>
        </w:rPr>
      </w:pPr>
    </w:p>
    <w:p>
      <w:pPr>
        <w:ind w:left="240" w:right="340"/>
        <w:spacing w:after="0" w:line="275" w:lineRule="auto"/>
        <w:rPr>
          <w:sz w:val="20"/>
          <w:szCs w:val="20"/>
          <w:color w:val="auto"/>
        </w:rPr>
      </w:pPr>
      <w:r>
        <w:rPr>
          <w:rFonts w:ascii="Arial" w:cs="Arial" w:eastAsia="Arial" w:hAnsi="Arial"/>
          <w:sz w:val="18"/>
          <w:szCs w:val="18"/>
          <w:b w:val="1"/>
          <w:bCs w:val="1"/>
          <w:i w:val="1"/>
          <w:iCs w:val="1"/>
          <w:color w:val="auto"/>
        </w:rPr>
        <w:t>We may be treated as a resident enterprise for PRC tax purposes under the PRC Enterprise Income Tax Law, and we may therefore be subject to PRC income tax on our global income.</w:t>
      </w:r>
    </w:p>
    <w:p>
      <w:pPr>
        <w:spacing w:after="0" w:line="63" w:lineRule="exact"/>
        <w:rPr>
          <w:sz w:val="20"/>
          <w:szCs w:val="20"/>
          <w:color w:val="auto"/>
        </w:rPr>
      </w:pPr>
    </w:p>
    <w:p>
      <w:pPr>
        <w:ind w:left="240" w:firstLine="438"/>
        <w:spacing w:after="0" w:line="266"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board members with voting rights or senior executives habitually reside in the PRC.</w:t>
      </w:r>
    </w:p>
    <w:p>
      <w:pPr>
        <w:spacing w:after="0" w:line="189" w:lineRule="exact"/>
        <w:rPr>
          <w:sz w:val="20"/>
          <w:szCs w:val="20"/>
          <w:color w:val="auto"/>
        </w:rPr>
      </w:pPr>
    </w:p>
    <w:p>
      <w:pPr>
        <w:ind w:left="240" w:firstLine="438"/>
        <w:spacing w:after="0" w:line="286" w:lineRule="auto"/>
        <w:rPr>
          <w:sz w:val="20"/>
          <w:szCs w:val="20"/>
          <w:color w:val="auto"/>
        </w:rPr>
      </w:pPr>
      <w:r>
        <w:rPr>
          <w:rFonts w:ascii="Arial" w:cs="Arial" w:eastAsia="Arial" w:hAnsi="Arial"/>
          <w:sz w:val="16"/>
          <w:szCs w:val="16"/>
          <w:color w:val="auto"/>
        </w:rPr>
        <w:t>We believe that our Cayman Islands holding company, Futu Holdings Limited,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Cayman Islands holding company is a PRC resident enterprise for enterprise income tax purposes, we may be required to withhold a 10% tax from dividends we pay to our shareholders that are non-resident enterprises, including the holders of the ADSs. In addition, non-resident enterprise shareholders, including our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Any PRC tax liability may be reduced by an applicable tax treaty. However,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w:t>
      </w:r>
    </w:p>
    <w:p>
      <w:pPr>
        <w:spacing w:after="0" w:line="166" w:lineRule="exact"/>
        <w:rPr>
          <w:sz w:val="20"/>
          <w:szCs w:val="20"/>
          <w:color w:val="auto"/>
        </w:rPr>
      </w:pPr>
    </w:p>
    <w:p>
      <w:pPr>
        <w:ind w:left="240" w:right="20" w:firstLine="438"/>
        <w:spacing w:after="0" w:line="262" w:lineRule="auto"/>
        <w:rPr>
          <w:sz w:val="20"/>
          <w:szCs w:val="20"/>
          <w:color w:val="auto"/>
        </w:rPr>
      </w:pPr>
      <w:r>
        <w:rPr>
          <w:rFonts w:ascii="Arial" w:cs="Arial" w:eastAsia="Arial" w:hAnsi="Arial"/>
          <w:sz w:val="18"/>
          <w:szCs w:val="18"/>
          <w:color w:val="auto"/>
        </w:rPr>
        <w:t>In addition to the uncertainty as to the application of the “resident enterprise” classification, we cannot assure you that the PRC government will not amend or revise the taxation laws, rules and regulations to impose stricter tax requirements or higher tax rates. Any of such changes could materially and adversely affect our financial condition and results of operations.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7"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360"/>
        <w:spacing w:after="0" w:line="275" w:lineRule="auto"/>
        <w:rPr>
          <w:sz w:val="20"/>
          <w:szCs w:val="20"/>
          <w:color w:val="auto"/>
        </w:rPr>
      </w:pPr>
      <w:r>
        <w:rPr>
          <w:rFonts w:ascii="Arial" w:cs="Arial" w:eastAsia="Arial" w:hAnsi="Arial"/>
          <w:sz w:val="18"/>
          <w:szCs w:val="18"/>
          <w:b w:val="1"/>
          <w:bCs w:val="1"/>
          <w:i w:val="1"/>
          <w:iCs w:val="1"/>
          <w:color w:val="auto"/>
        </w:rPr>
        <w:t>Dividends payable to our foreign investors and gains on the sale of our ADSs or ordinary shares by our foreign investors may become subject to PRC tax.</w:t>
      </w:r>
    </w:p>
    <w:p>
      <w:pPr>
        <w:spacing w:after="0" w:line="63" w:lineRule="exact"/>
        <w:rPr>
          <w:sz w:val="20"/>
          <w:szCs w:val="20"/>
          <w:color w:val="auto"/>
        </w:rPr>
      </w:pPr>
    </w:p>
    <w:p>
      <w:pPr>
        <w:ind w:left="240" w:firstLine="438"/>
        <w:spacing w:after="0" w:line="284" w:lineRule="auto"/>
        <w:rPr>
          <w:sz w:val="20"/>
          <w:szCs w:val="20"/>
          <w:color w:val="auto"/>
        </w:rPr>
      </w:pPr>
      <w:r>
        <w:rPr>
          <w:rFonts w:ascii="Arial" w:cs="Arial" w:eastAsia="Arial" w:hAnsi="Arial"/>
          <w:sz w:val="16"/>
          <w:szCs w:val="16"/>
          <w:color w:val="auto"/>
        </w:rPr>
        <w:t>Under the Enterprise Income Tax Law and its implementation regulations issued by the State Council, a 10% PRC withholding tax is applicable to dividends payable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Similarly, any gain realized on the transfer of ADSs or ordinary shares by such investors is also subject to PRC tax at a current rate of 10%, subject to any reduction or exemption set forth in applicable tax treaties or under applicable tax arrangements between jurisdictions, if such gain is regarded as income derived from sources within the PRC. If we are deemed a PRC resident enterprise, dividends paid on our ordinary shares or ADSs, and any gain realized from the transfer of our ordinary shares or ADSs, would be treated as income derived from sources within the PRC and would as a result be subject to PRC taxation. Furthermore, if we are deemed a PRC resident enterprise, dividends payable to individual investors who are non-PRC residents and any gain realized on the transfer of ADSs or ordinary shares by such investors may be subject to PRC tax at a current rate of 20%, subject to any reduction or exemption set forth in applicable tax treaties or under applicable tax arrangements between jurisdictions. If we or any of our subsidiaries established outside China are considered a PRC resident enterprise, it is unclear whether holders of our ADSs or ordinary shares would be able to claim the benefit of income tax treaties or agreements entered into between China and other countries or areas. If dividends payable to our non-PRC investors, or gains from the transfer of our ADSs or ordinary shares by such investors, are deemed as income derived from sources within the PRC and thus are subject to PRC tax, the value of your investment in our ADSs or ordinary shares may decline significantly.</w:t>
      </w:r>
    </w:p>
    <w:p>
      <w:pPr>
        <w:spacing w:after="0" w:line="200" w:lineRule="exact"/>
        <w:rPr>
          <w:sz w:val="20"/>
          <w:szCs w:val="20"/>
          <w:color w:val="auto"/>
        </w:rPr>
      </w:pPr>
    </w:p>
    <w:p>
      <w:pPr>
        <w:spacing w:after="0" w:line="297" w:lineRule="exact"/>
        <w:rPr>
          <w:sz w:val="20"/>
          <w:szCs w:val="20"/>
          <w:color w:val="auto"/>
        </w:rPr>
      </w:pPr>
    </w:p>
    <w:p>
      <w:pPr>
        <w:ind w:left="240" w:right="20"/>
        <w:spacing w:after="0" w:line="339" w:lineRule="auto"/>
        <w:rPr>
          <w:sz w:val="20"/>
          <w:szCs w:val="20"/>
          <w:color w:val="auto"/>
        </w:rPr>
      </w:pPr>
      <w:r>
        <w:rPr>
          <w:rFonts w:ascii="Arial" w:cs="Arial" w:eastAsia="Arial" w:hAnsi="Arial"/>
          <w:sz w:val="16"/>
          <w:szCs w:val="16"/>
          <w:b w:val="1"/>
          <w:bCs w:val="1"/>
          <w:i w:val="1"/>
          <w:iCs w:val="1"/>
          <w:color w:val="auto"/>
        </w:rPr>
        <w:t>We and our shareholders face uncertainties with respect to indirect transfers of equity interests in PRC resident enterprises or other assets attributed to a Chinese establishment of a non-Chinese company, or immovable properties located in China owned by non-Chinese companies.</w:t>
      </w:r>
    </w:p>
    <w:p>
      <w:pPr>
        <w:spacing w:after="0" w:line="17" w:lineRule="exact"/>
        <w:rPr>
          <w:sz w:val="20"/>
          <w:szCs w:val="20"/>
          <w:color w:val="auto"/>
        </w:rPr>
      </w:pPr>
    </w:p>
    <w:p>
      <w:pPr>
        <w:ind w:left="240" w:right="20" w:firstLine="438"/>
        <w:spacing w:after="0" w:line="284" w:lineRule="auto"/>
        <w:rPr>
          <w:sz w:val="20"/>
          <w:szCs w:val="20"/>
          <w:color w:val="auto"/>
        </w:rPr>
      </w:pPr>
      <w:r>
        <w:rPr>
          <w:rFonts w:ascii="Arial" w:cs="Arial" w:eastAsia="Arial" w:hAnsi="Arial"/>
          <w:sz w:val="16"/>
          <w:szCs w:val="16"/>
          <w:color w:val="auto"/>
        </w:rPr>
        <w:t>In February 2015, SAT issued a Public Notice Regarding Certain Corporate Income Tax Matters on Indirect Transfer of Properties by Non-Tax Resident Enterprises, or SAT Public Notice 7. SAT Public Notice 7 extends its tax jurisdiction to transactions involving transfer of other taxable assets through offshore transfer of a foreign intermediate holding company. In addition, SAT Public Notice 7 provides clear criteria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In October 2017,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 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other than transfer of Shares of ADSs acquired and sold on public markets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69" w:lineRule="exact"/>
        <w:rPr>
          <w:sz w:val="20"/>
          <w:szCs w:val="20"/>
          <w:color w:val="auto"/>
        </w:rPr>
      </w:pPr>
    </w:p>
    <w:p>
      <w:pPr>
        <w:ind w:left="240" w:right="340" w:firstLine="438"/>
        <w:spacing w:after="0" w:line="275" w:lineRule="auto"/>
        <w:rPr>
          <w:sz w:val="20"/>
          <w:szCs w:val="20"/>
          <w:color w:val="auto"/>
        </w:rPr>
      </w:pPr>
      <w:r>
        <w:rPr>
          <w:rFonts w:ascii="Arial" w:cs="Arial" w:eastAsia="Arial" w:hAnsi="Arial"/>
          <w:sz w:val="18"/>
          <w:szCs w:val="18"/>
          <w:color w:val="auto"/>
        </w:rPr>
        <w:t>We face uncertainties as to the reporting and other implications of certain past and future transactions that involve PRC taxable assets, such as offshore restructuring, sale of the shares in our offshore subsidiaries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457"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680"/>
        <w:spacing w:after="0" w:line="339" w:lineRule="auto"/>
        <w:rPr>
          <w:sz w:val="20"/>
          <w:szCs w:val="20"/>
          <w:color w:val="auto"/>
        </w:rPr>
      </w:pPr>
      <w:r>
        <w:rPr>
          <w:rFonts w:ascii="Arial" w:cs="Arial" w:eastAsia="Arial" w:hAnsi="Arial"/>
          <w:sz w:val="16"/>
          <w:szCs w:val="16"/>
          <w:color w:val="auto"/>
        </w:rPr>
        <w:t>investments. Our company may be subject to filing obligations or taxed if our company is transferor in such transactions, and may be subject to withholding obligations if our company is transferee in such transactions, under SAT Public Notice 7 or SAT Bulletin 37, or both.</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PRC restrictions on currency exchange.</w:t>
      </w:r>
    </w:p>
    <w:p>
      <w:pPr>
        <w:spacing w:after="0" w:line="115" w:lineRule="exact"/>
        <w:rPr>
          <w:sz w:val="20"/>
          <w:szCs w:val="20"/>
          <w:color w:val="auto"/>
        </w:rPr>
      </w:pPr>
    </w:p>
    <w:p>
      <w:pPr>
        <w:ind w:left="240" w:right="20" w:firstLine="438"/>
        <w:spacing w:after="0" w:line="286" w:lineRule="auto"/>
        <w:rPr>
          <w:sz w:val="20"/>
          <w:szCs w:val="20"/>
          <w:color w:val="auto"/>
        </w:rPr>
      </w:pPr>
      <w:r>
        <w:rPr>
          <w:rFonts w:ascii="Arial" w:cs="Arial" w:eastAsia="Arial" w:hAnsi="Arial"/>
          <w:sz w:val="16"/>
          <w:szCs w:val="16"/>
          <w:color w:val="auto"/>
        </w:rPr>
        <w:t>Some of our revenues and expenses are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onshore subsidiaries or VIE. Currently, certain of our PRC subsidiaries may purchase foreign currency for settlement of “current account transactions,” including payment of dividends to us, without the approval of the SAFE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a part of our future net income and cash flow will be denominated in Renminbi, any existing and future restrictions on currency exchange may limit our ability to utilize cash generated in Renminbi to fund our business activities outside of the PRC or pay dividends in foreign currencies to our shareholders, including holders of our ADSs, and may limit our ability to obtain foreign currency through debt or equity financing for our subsidiaries and VIE.</w:t>
      </w:r>
    </w:p>
    <w:p>
      <w:pPr>
        <w:spacing w:after="0" w:line="278" w:lineRule="exact"/>
        <w:rPr>
          <w:sz w:val="20"/>
          <w:szCs w:val="20"/>
          <w:color w:val="auto"/>
        </w:rPr>
      </w:pPr>
    </w:p>
    <w:p>
      <w:pPr>
        <w:ind w:left="240" w:right="660"/>
        <w:spacing w:after="0" w:line="339" w:lineRule="auto"/>
        <w:rPr>
          <w:sz w:val="20"/>
          <w:szCs w:val="20"/>
          <w:color w:val="auto"/>
        </w:rPr>
      </w:pPr>
      <w:r>
        <w:rPr>
          <w:rFonts w:ascii="Arial" w:cs="Arial" w:eastAsia="Arial" w:hAnsi="Arial"/>
          <w:sz w:val="16"/>
          <w:szCs w:val="16"/>
          <w:b w:val="1"/>
          <w:bCs w:val="1"/>
          <w:i w:val="1"/>
          <w:iCs w:val="1"/>
          <w:color w:val="auto"/>
        </w:rPr>
        <w:t>If the custodians or authorized users of our controlling non-tangible assets, including chops and seals, fail to fulfill their responsibilities, or misappropriate or misuse these assets, our business and operations may be materially and adversely affected.</w:t>
      </w:r>
    </w:p>
    <w:p>
      <w:pPr>
        <w:spacing w:after="0" w:line="17" w:lineRule="exact"/>
        <w:rPr>
          <w:sz w:val="20"/>
          <w:szCs w:val="20"/>
          <w:color w:val="auto"/>
        </w:rPr>
      </w:pPr>
    </w:p>
    <w:p>
      <w:pPr>
        <w:ind w:left="240" w:right="40" w:firstLine="438"/>
        <w:spacing w:after="0" w:line="262" w:lineRule="auto"/>
        <w:rPr>
          <w:sz w:val="20"/>
          <w:szCs w:val="20"/>
          <w:color w:val="auto"/>
        </w:rPr>
      </w:pPr>
      <w:r>
        <w:rPr>
          <w:rFonts w:ascii="Arial" w:cs="Arial" w:eastAsia="Arial" w:hAnsi="Arial"/>
          <w:sz w:val="18"/>
          <w:szCs w:val="18"/>
          <w:color w:val="auto"/>
        </w:rPr>
        <w:t>Under PRC law, legal documents for corporate transactions, including agreements and contracts such as the leases and sales contracts that our business relies on, are executed using the chop or seal of the signing entity or with the signature of a legal representative whose designation is registered and filed with the relevant local branch of the market supervision administration.</w:t>
      </w:r>
    </w:p>
    <w:p>
      <w:pPr>
        <w:spacing w:after="0" w:line="181" w:lineRule="exact"/>
        <w:rPr>
          <w:sz w:val="20"/>
          <w:szCs w:val="20"/>
          <w:color w:val="auto"/>
        </w:rPr>
      </w:pPr>
    </w:p>
    <w:p>
      <w:pPr>
        <w:ind w:left="240" w:right="120" w:firstLine="438"/>
        <w:spacing w:after="0" w:line="267" w:lineRule="auto"/>
        <w:rPr>
          <w:sz w:val="20"/>
          <w:szCs w:val="20"/>
          <w:color w:val="auto"/>
        </w:rPr>
      </w:pPr>
      <w:r>
        <w:rPr>
          <w:rFonts w:ascii="Arial" w:cs="Arial" w:eastAsia="Arial" w:hAnsi="Arial"/>
          <w:sz w:val="17"/>
          <w:szCs w:val="17"/>
          <w:color w:val="auto"/>
        </w:rPr>
        <w:t>In order to maintain the physical security of our chops and the chops of our PRC entities, we generally store these items in secured locations accessible only by the authorized personnel of each of our PRC subsidiary and consolidated entities.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subsidiary or consolidated entities, we, our PRC subsidiaries or consolidated entities would need to pass a new shareholder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293" w:lineRule="exact"/>
        <w:rPr>
          <w:sz w:val="20"/>
          <w:szCs w:val="20"/>
          <w:color w:val="auto"/>
        </w:rPr>
      </w:pPr>
    </w:p>
    <w:p>
      <w:pPr>
        <w:ind w:left="240"/>
        <w:spacing w:after="0" w:line="275"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our investors are deprived of the benefits of such inspection.</w:t>
      </w:r>
    </w:p>
    <w:p>
      <w:pPr>
        <w:spacing w:after="0" w:line="63" w:lineRule="exact"/>
        <w:rPr>
          <w:sz w:val="20"/>
          <w:szCs w:val="20"/>
          <w:color w:val="auto"/>
        </w:rPr>
      </w:pPr>
    </w:p>
    <w:p>
      <w:pPr>
        <w:jc w:val="both"/>
        <w:ind w:left="240" w:right="600" w:firstLine="438"/>
        <w:spacing w:after="0" w:line="262" w:lineRule="auto"/>
        <w:rPr>
          <w:sz w:val="20"/>
          <w:szCs w:val="20"/>
          <w:color w:val="auto"/>
        </w:rPr>
      </w:pPr>
      <w:r>
        <w:rPr>
          <w:rFonts w:ascii="Arial" w:cs="Arial" w:eastAsia="Arial" w:hAnsi="Arial"/>
          <w:sz w:val="18"/>
          <w:szCs w:val="18"/>
          <w:color w:val="auto"/>
        </w:rPr>
        <w:t>Our independent registered public accounting firm that issues the audit report included in our prospectus filed with the SEC, as auditors of companies that are traded publicly in the United States and a firm registered with the U.S. Public Company Accounting Oversight Board, or the PCAOB, is required by the laws of the United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7"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60"/>
        <w:spacing w:after="0" w:line="262" w:lineRule="auto"/>
        <w:rPr>
          <w:sz w:val="20"/>
          <w:szCs w:val="20"/>
          <w:color w:val="auto"/>
        </w:rPr>
      </w:pPr>
      <w:r>
        <w:rPr>
          <w:rFonts w:ascii="Arial" w:cs="Arial" w:eastAsia="Arial" w:hAnsi="Arial"/>
          <w:sz w:val="18"/>
          <w:szCs w:val="18"/>
          <w:color w:val="auto"/>
        </w:rPr>
        <w:t>States to undergo regular inspections by the PCAOB to assess its compliance with the laws of the United States and professional standards. Because our auditors are located in the People’s Republic of China, a jurisdiction where the PCAOB is currently unable to conduct inspections without the approval of the Chinese authorities, our auditors are not currently inspected by the PCAOB.</w:t>
      </w:r>
    </w:p>
    <w:p>
      <w:pPr>
        <w:spacing w:after="0" w:line="181" w:lineRule="exact"/>
        <w:rPr>
          <w:sz w:val="20"/>
          <w:szCs w:val="20"/>
          <w:color w:val="auto"/>
        </w:rPr>
      </w:pPr>
    </w:p>
    <w:p>
      <w:pPr>
        <w:ind w:left="240" w:right="100" w:firstLine="438"/>
        <w:spacing w:after="0" w:line="257"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8" w:lineRule="exact"/>
        <w:rPr>
          <w:sz w:val="20"/>
          <w:szCs w:val="20"/>
          <w:color w:val="auto"/>
        </w:rPr>
      </w:pPr>
    </w:p>
    <w:p>
      <w:pPr>
        <w:jc w:val="both"/>
        <w:ind w:left="240" w:firstLine="438"/>
        <w:spacing w:after="0" w:line="284" w:lineRule="auto"/>
        <w:rPr>
          <w:sz w:val="20"/>
          <w:szCs w:val="20"/>
          <w:color w:val="auto"/>
        </w:rPr>
      </w:pPr>
      <w:r>
        <w:rPr>
          <w:rFonts w:ascii="Arial" w:cs="Arial" w:eastAsia="Arial" w:hAnsi="Arial"/>
          <w:sz w:val="17"/>
          <w:szCs w:val="17"/>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consolidated financial statements.</w:t>
      </w:r>
    </w:p>
    <w:p>
      <w:pPr>
        <w:spacing w:after="0" w:line="273"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b w:val="1"/>
          <w:bCs w:val="1"/>
          <w:i w:val="1"/>
          <w:iCs w:val="1"/>
          <w:color w:val="auto"/>
        </w:rPr>
        <w:t>If additional remedial measures are imposed on the “big four” PRC-based accounting firms, including our independent registered public accounting firm, in administrative proceedings brought by the SEC alleging such firms’ failure to meet specific criteria set by the SEC with respect to requests for the production of documents, we could be unable to timely file future financial statements in compliance with the requirements of the Exchange Act.</w:t>
      </w:r>
    </w:p>
    <w:p>
      <w:pPr>
        <w:spacing w:after="0" w:line="80" w:lineRule="exact"/>
        <w:rPr>
          <w:sz w:val="20"/>
          <w:szCs w:val="20"/>
          <w:color w:val="auto"/>
        </w:rPr>
      </w:pPr>
    </w:p>
    <w:p>
      <w:pPr>
        <w:ind w:left="240" w:right="20" w:firstLine="438"/>
        <w:spacing w:after="0" w:line="255" w:lineRule="auto"/>
        <w:rPr>
          <w:sz w:val="20"/>
          <w:szCs w:val="20"/>
          <w:color w:val="auto"/>
        </w:rPr>
      </w:pPr>
      <w:r>
        <w:rPr>
          <w:rFonts w:ascii="Arial" w:cs="Arial" w:eastAsia="Arial" w:hAnsi="Arial"/>
          <w:sz w:val="18"/>
          <w:szCs w:val="18"/>
          <w:color w:val="auto"/>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China law they could not respond directly to the US regulators on those requests, and that requests by foreign regulators for access to such papers in China had to be channeled through the CSRC.</w:t>
      </w:r>
    </w:p>
    <w:p>
      <w:pPr>
        <w:spacing w:after="0" w:line="189" w:lineRule="exact"/>
        <w:rPr>
          <w:sz w:val="20"/>
          <w:szCs w:val="20"/>
          <w:color w:val="auto"/>
        </w:rPr>
      </w:pPr>
    </w:p>
    <w:p>
      <w:pPr>
        <w:ind w:left="240" w:firstLine="438"/>
        <w:spacing w:after="0" w:line="286" w:lineRule="auto"/>
        <w:rPr>
          <w:sz w:val="20"/>
          <w:szCs w:val="20"/>
          <w:color w:val="auto"/>
        </w:rPr>
      </w:pPr>
      <w:r>
        <w:rPr>
          <w:rFonts w:ascii="Arial" w:cs="Arial" w:eastAsia="Arial" w:hAnsi="Arial"/>
          <w:sz w:val="16"/>
          <w:szCs w:val="16"/>
          <w:color w:val="auto"/>
        </w:rPr>
        <w:t>In late 2012, this impasse led the SEC to commence administrative proceedings under Rule 102(e) of its Rules of Practice and also under the Sarbanes-Oxley Act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was subject to the pending review of the SEC Commissioner. On February 6, 2015, prior to the SEC Commissioner’s scheduled review, the firms reached a settlement with the SEC. Under the settlement, the SEC agreed that its future requests for the production of documents would normally be made to the CSRC. The firms would receive matching requests under Section 106 of the Sarbanes-Oxley Act, and are required to abide by a detailed set of procedures with respect to such requests, which in substance required them to facilitate production via the CSRC. If they fail to meet the specified criteria, the SEC retains the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the firm, or in extreme cases, the resumption of the current proceeding against all four “big four” accounting firms.</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119" w:lineRule="exact"/>
        <w:rPr>
          <w:sz w:val="20"/>
          <w:szCs w:val="20"/>
          <w:color w:val="auto"/>
        </w:rPr>
      </w:pPr>
    </w:p>
    <w:p>
      <w:pPr>
        <w:ind w:left="240" w:right="80"/>
        <w:spacing w:after="0" w:line="275" w:lineRule="auto"/>
        <w:rPr>
          <w:sz w:val="20"/>
          <w:szCs w:val="20"/>
          <w:color w:val="auto"/>
        </w:rPr>
      </w:pPr>
      <w:r>
        <w:rPr>
          <w:rFonts w:ascii="Arial" w:cs="Arial" w:eastAsia="Arial" w:hAnsi="Arial"/>
          <w:sz w:val="18"/>
          <w:szCs w:val="18"/>
          <w:b w:val="1"/>
          <w:bCs w:val="1"/>
          <w:i w:val="1"/>
          <w:iCs w:val="1"/>
          <w:color w:val="auto"/>
        </w:rPr>
        <w:t>There has been no public market for our shares or ADSs prior to this offering, and you may not be able to resell our ADSs at or above the price you paid, or at all.</w:t>
      </w:r>
    </w:p>
    <w:p>
      <w:pPr>
        <w:spacing w:after="0" w:line="63" w:lineRule="exact"/>
        <w:rPr>
          <w:sz w:val="20"/>
          <w:szCs w:val="20"/>
          <w:color w:val="auto"/>
        </w:rPr>
      </w:pPr>
    </w:p>
    <w:p>
      <w:pPr>
        <w:ind w:left="240" w:right="40" w:firstLine="438"/>
        <w:spacing w:after="0" w:line="275" w:lineRule="auto"/>
        <w:rPr>
          <w:sz w:val="20"/>
          <w:szCs w:val="20"/>
          <w:color w:val="auto"/>
        </w:rPr>
      </w:pPr>
      <w:r>
        <w:rPr>
          <w:rFonts w:ascii="Arial" w:cs="Arial" w:eastAsia="Arial" w:hAnsi="Arial"/>
          <w:sz w:val="18"/>
          <w:szCs w:val="18"/>
          <w:color w:val="auto"/>
        </w:rPr>
        <w:t>Prior to this offering, there has been no public market for our ADSs or the ordinary shares underlying the ADSs. If an active public market for our ADSs does not develop after this offering, the market price of our ADSs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7"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spacing w:after="0" w:line="275" w:lineRule="auto"/>
        <w:rPr>
          <w:sz w:val="20"/>
          <w:szCs w:val="20"/>
          <w:color w:val="auto"/>
        </w:rPr>
      </w:pPr>
      <w:r>
        <w:rPr>
          <w:rFonts w:ascii="Arial" w:cs="Arial" w:eastAsia="Arial" w:hAnsi="Arial"/>
          <w:sz w:val="18"/>
          <w:szCs w:val="18"/>
          <w:color w:val="auto"/>
        </w:rPr>
        <w:t>may decline and the liquidity of our ADSs may decrease significantly. Although we have applied to have our ADSs listed on Nasdaq Global Market, we cannot assure you that a liquid public market for our ADSs will develop.</w:t>
      </w:r>
    </w:p>
    <w:p>
      <w:pPr>
        <w:spacing w:after="0" w:line="170" w:lineRule="exact"/>
        <w:rPr>
          <w:sz w:val="20"/>
          <w:szCs w:val="20"/>
          <w:color w:val="auto"/>
        </w:rPr>
      </w:pPr>
    </w:p>
    <w:p>
      <w:pPr>
        <w:ind w:left="240" w:right="200" w:firstLine="438"/>
        <w:spacing w:after="0" w:line="262" w:lineRule="auto"/>
        <w:rPr>
          <w:sz w:val="20"/>
          <w:szCs w:val="20"/>
          <w:color w:val="auto"/>
        </w:rPr>
      </w:pPr>
      <w:r>
        <w:rPr>
          <w:rFonts w:ascii="Arial" w:cs="Arial" w:eastAsia="Arial" w:hAnsi="Arial"/>
          <w:sz w:val="18"/>
          <w:szCs w:val="18"/>
          <w:color w:val="auto"/>
        </w:rPr>
        <w:t>The initial public offering price for our ADSs will be determined by negotiation between us, the selling shareholders and the underwriters based upon several factors, and we cannot assure you that the price at which the ADSs are traded after this offering will not decline below the initial public offering price.</w:t>
      </w:r>
    </w:p>
    <w:p>
      <w:pPr>
        <w:spacing w:after="0" w:line="181" w:lineRule="exact"/>
        <w:rPr>
          <w:sz w:val="20"/>
          <w:szCs w:val="20"/>
          <w:color w:val="auto"/>
        </w:rPr>
      </w:pPr>
    </w:p>
    <w:p>
      <w:pPr>
        <w:ind w:left="240" w:right="60" w:firstLine="438"/>
        <w:spacing w:after="0" w:line="254" w:lineRule="auto"/>
        <w:rPr>
          <w:sz w:val="20"/>
          <w:szCs w:val="20"/>
          <w:color w:val="auto"/>
        </w:rPr>
      </w:pPr>
      <w:r>
        <w:rPr>
          <w:rFonts w:ascii="Arial" w:cs="Arial" w:eastAsia="Arial" w:hAnsi="Arial"/>
          <w:sz w:val="18"/>
          <w:szCs w:val="18"/>
          <w:color w:val="auto"/>
        </w:rPr>
        <w:t>In addition, Nasdaq Global Market has from time to time experienced significant price and volume fluctuations that have affected the market prices for the securities of technology companies, particularly internet-related companies. As a result, investors in our securities may experience a decrease in the value of their ADSs regardless of our operating performance or prospects. In the past, following periods of volatility in the market price of a company’s securities, shareholders have often instituted securities class actions against that company. If we are involved in a class-action lawsuit, it could divert the attention of our senior management and, if adversely determined, could have a material adverse effect on our business, financial condition and results of operations.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price of our ADSs may be volatile, which could result in substantial losses to you.</w:t>
      </w:r>
    </w:p>
    <w:p>
      <w:pPr>
        <w:spacing w:after="0" w:line="115" w:lineRule="exact"/>
        <w:rPr>
          <w:sz w:val="20"/>
          <w:szCs w:val="20"/>
          <w:color w:val="auto"/>
        </w:rPr>
      </w:pPr>
    </w:p>
    <w:p>
      <w:pPr>
        <w:ind w:left="240" w:firstLine="438"/>
        <w:spacing w:after="0" w:line="285" w:lineRule="auto"/>
        <w:rPr>
          <w:sz w:val="20"/>
          <w:szCs w:val="20"/>
          <w:color w:val="auto"/>
        </w:rPr>
      </w:pPr>
      <w:r>
        <w:rPr>
          <w:rFonts w:ascii="Arial" w:cs="Arial" w:eastAsia="Arial" w:hAnsi="Arial"/>
          <w:sz w:val="16"/>
          <w:szCs w:val="16"/>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companies based in Hong Kong and China. The securities of some of these companies have experienced significant volatility since their initial public offerings, including, in some cases, substantial price declines in the trading prices of their securities. The trading performances of other Chinese companies’ securities after their offerings, including Internet companies, online retail and mobile commerce platforms and consumer finance service providers,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the second half of 2011 and in 2015, which may have a material and adverse effect on the trading price of our ADSs.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 addition to the above factors, the price and trading volume of our ADSs may be highly volatile due to multiple factors, including the following:</w:t>
      </w:r>
    </w:p>
    <w:p>
      <w:pPr>
        <w:spacing w:after="0" w:line="152" w:lineRule="exact"/>
        <w:rPr>
          <w:sz w:val="20"/>
          <w:szCs w:val="20"/>
          <w:color w:val="auto"/>
        </w:rPr>
      </w:pPr>
    </w:p>
    <w:p>
      <w:pPr>
        <w:ind w:left="1100" w:hanging="32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affecting us or our industry;</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credit offerings or those of our competitors;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consumer finance service providers;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in the market for consumer finance services;</w:t>
      </w:r>
    </w:p>
    <w:p>
      <w:pPr>
        <w:spacing w:after="0" w:line="128" w:lineRule="exact"/>
        <w:rPr>
          <w:rFonts w:ascii="Arial" w:cs="Arial" w:eastAsia="Arial" w:hAnsi="Arial"/>
          <w:sz w:val="18"/>
          <w:szCs w:val="18"/>
          <w:color w:val="auto"/>
        </w:rPr>
      </w:pPr>
    </w:p>
    <w:p>
      <w:pPr>
        <w:ind w:left="1100" w:right="280" w:hanging="327"/>
        <w:spacing w:after="0" w:line="275"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capital raisings or capital commitments;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7"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100" w:hanging="327"/>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of exchange rates between the Renminbi and the U.S. dollar;</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shares or ADSs; and</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330" w:lineRule="exact"/>
        <w:rPr>
          <w:sz w:val="20"/>
          <w:szCs w:val="20"/>
          <w:color w:val="auto"/>
        </w:rPr>
      </w:pPr>
    </w:p>
    <w:p>
      <w:pPr>
        <w:ind w:left="240" w:right="60"/>
        <w:spacing w:after="0" w:line="27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3" w:lineRule="exact"/>
        <w:rPr>
          <w:sz w:val="20"/>
          <w:szCs w:val="20"/>
          <w:color w:val="auto"/>
        </w:rPr>
      </w:pPr>
    </w:p>
    <w:p>
      <w:pPr>
        <w:ind w:left="240" w:right="120" w:firstLine="438"/>
        <w:spacing w:after="0" w:line="255"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7" w:lineRule="exact"/>
        <w:rPr>
          <w:sz w:val="20"/>
          <w:szCs w:val="20"/>
          <w:color w:val="auto"/>
        </w:rPr>
      </w:pPr>
    </w:p>
    <w:p>
      <w:pPr>
        <w:ind w:left="240"/>
        <w:spacing w:after="0" w:line="275" w:lineRule="auto"/>
        <w:rPr>
          <w:sz w:val="20"/>
          <w:szCs w:val="20"/>
          <w:color w:val="auto"/>
        </w:rPr>
      </w:pPr>
      <w:r>
        <w:rPr>
          <w:rFonts w:ascii="Arial" w:cs="Arial" w:eastAsia="Arial" w:hAnsi="Arial"/>
          <w:sz w:val="18"/>
          <w:szCs w:val="18"/>
          <w:b w:val="1"/>
          <w:bCs w:val="1"/>
          <w:i w:val="1"/>
          <w:iCs w:val="1"/>
          <w:color w:val="auto"/>
        </w:rPr>
        <w:t>[As our initial public offering price is substantially higher than our net tangible book value per share, you will experience immediate and substantial dilution.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If you purchase ADSs in this offering, you will pay more for your ADSs than the amount paid by existing shareholders for their ordinary shares on</w:t>
      </w:r>
    </w:p>
    <w:p>
      <w:pPr>
        <w:spacing w:after="0" w:line="45" w:lineRule="exact"/>
        <w:rPr>
          <w:sz w:val="20"/>
          <w:szCs w:val="20"/>
          <w:color w:val="auto"/>
        </w:rPr>
      </w:pPr>
    </w:p>
    <w:p>
      <w:pPr>
        <w:ind w:left="240" w:right="20"/>
        <w:spacing w:after="0" w:line="263" w:lineRule="auto"/>
        <w:rPr>
          <w:sz w:val="20"/>
          <w:szCs w:val="20"/>
          <w:color w:val="auto"/>
        </w:rPr>
      </w:pPr>
      <w:r>
        <w:rPr>
          <w:rFonts w:ascii="Arial" w:cs="Arial" w:eastAsia="Arial" w:hAnsi="Arial"/>
          <w:sz w:val="17"/>
          <w:szCs w:val="17"/>
          <w:color w:val="auto"/>
        </w:rPr>
        <w:t>a per ADS basis. As a result, you will experience immediate and substantial dilution of approximately US$ per ADS (assuming no exercise of outstanding options to acquire ordinary shares), representing the difference between our pro forma net tangible book value per ADS of US$ as of , after giving effect to this offering, and the assumed initial public offering price per share of US$ per ADS (the midpoint of the estimated</w:t>
      </w:r>
    </w:p>
    <w:p>
      <w:pPr>
        <w:spacing w:after="0" w:line="2" w:lineRule="exact"/>
        <w:rPr>
          <w:sz w:val="20"/>
          <w:szCs w:val="20"/>
          <w:color w:val="auto"/>
        </w:rPr>
      </w:pPr>
    </w:p>
    <w:p>
      <w:pPr>
        <w:ind w:left="240" w:right="80"/>
        <w:spacing w:after="0" w:line="293" w:lineRule="auto"/>
        <w:rPr>
          <w:sz w:val="20"/>
          <w:szCs w:val="20"/>
          <w:color w:val="auto"/>
        </w:rPr>
      </w:pPr>
      <w:r>
        <w:rPr>
          <w:rFonts w:ascii="Arial" w:cs="Arial" w:eastAsia="Arial" w:hAnsi="Arial"/>
          <w:sz w:val="16"/>
          <w:szCs w:val="16"/>
          <w:color w:val="auto"/>
        </w:rPr>
        <w:t>initial public offering price range set forth on the front cover page of this prospectus). In addition, you may experience further dilution to the extent that our ordinary shares are issued upon the exercise of share options. Substantially all of the ordinary shares issuable upon the exercise of currently outstanding share options will be issued at a purchase price on a per ADS basis that is less than the initial public offering price per ADS in this offering. See “Dilution” for a more complete description of how the value of your investment in our ADSs will be diluted upon the completion of this offering.]</w:t>
      </w:r>
    </w:p>
    <w:p>
      <w:pPr>
        <w:spacing w:after="0" w:line="268" w:lineRule="exact"/>
        <w:rPr>
          <w:sz w:val="20"/>
          <w:szCs w:val="20"/>
          <w:color w:val="auto"/>
        </w:rPr>
      </w:pPr>
    </w:p>
    <w:p>
      <w:pPr>
        <w:ind w:left="240" w:right="220"/>
        <w:spacing w:after="0" w:line="275"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3" w:lineRule="exact"/>
        <w:rPr>
          <w:sz w:val="20"/>
          <w:szCs w:val="20"/>
          <w:color w:val="auto"/>
        </w:rPr>
      </w:pPr>
    </w:p>
    <w:p>
      <w:pPr>
        <w:jc w:val="both"/>
        <w:ind w:left="240" w:right="40" w:firstLine="438"/>
        <w:spacing w:after="0" w:line="262"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See “Dividend Policy.” Therefore, you should not rely on an investment in our ADSs as a source for any future dividend income.</w:t>
      </w:r>
    </w:p>
    <w:p>
      <w:pPr>
        <w:spacing w:after="0" w:line="181" w:lineRule="exact"/>
        <w:rPr>
          <w:sz w:val="20"/>
          <w:szCs w:val="20"/>
          <w:color w:val="auto"/>
        </w:rPr>
      </w:pPr>
    </w:p>
    <w:p>
      <w:pPr>
        <w:ind w:left="240" w:right="180" w:firstLine="438"/>
        <w:spacing w:after="0" w:line="253" w:lineRule="auto"/>
        <w:rPr>
          <w:sz w:val="20"/>
          <w:szCs w:val="20"/>
          <w:color w:val="auto"/>
        </w:rPr>
      </w:pPr>
      <w:r>
        <w:rPr>
          <w:rFonts w:ascii="Arial" w:cs="Arial" w:eastAsia="Arial" w:hAnsi="Arial"/>
          <w:sz w:val="18"/>
          <w:szCs w:val="18"/>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7"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Substantial future sales or perceived potential sales of our ADSs in the public market could cause the price of our ADSs to decline.</w:t>
      </w:r>
    </w:p>
    <w:p>
      <w:pPr>
        <w:spacing w:after="0" w:line="127" w:lineRule="exact"/>
        <w:rPr>
          <w:sz w:val="20"/>
          <w:szCs w:val="20"/>
          <w:color w:val="auto"/>
        </w:rPr>
      </w:pPr>
    </w:p>
    <w:p>
      <w:pPr>
        <w:ind w:left="240" w:right="40" w:firstLine="438"/>
        <w:spacing w:after="0" w:line="289" w:lineRule="auto"/>
        <w:rPr>
          <w:sz w:val="20"/>
          <w:szCs w:val="20"/>
          <w:color w:val="auto"/>
        </w:rPr>
      </w:pPr>
      <w:r>
        <w:rPr>
          <w:rFonts w:ascii="Arial" w:cs="Arial" w:eastAsia="Arial" w:hAnsi="Arial"/>
          <w:sz w:val="16"/>
          <w:szCs w:val="16"/>
          <w:color w:val="auto"/>
        </w:rPr>
        <w:t>Sales of substantial amounts of our ADSs or ordinary shares in the public market after the completion of this offering, or the perception that these sales could occur, could adversely affect the market price of our ADSs and could materially impair our future ability to raise capital through offerings of</w:t>
      </w:r>
    </w:p>
    <w:p>
      <w:pPr>
        <w:spacing w:after="0" w:line="1" w:lineRule="exact"/>
        <w:rPr>
          <w:sz w:val="20"/>
          <w:szCs w:val="20"/>
          <w:color w:val="auto"/>
        </w:rPr>
      </w:pPr>
    </w:p>
    <w:p>
      <w:pPr>
        <w:ind w:left="240"/>
        <w:spacing w:after="0"/>
        <w:tabs>
          <w:tab w:leader="none" w:pos="5000" w:val="left"/>
          <w:tab w:leader="none" w:pos="8380" w:val="left"/>
        </w:tabs>
        <w:rPr>
          <w:sz w:val="20"/>
          <w:szCs w:val="20"/>
          <w:color w:val="auto"/>
        </w:rPr>
      </w:pPr>
      <w:r>
        <w:rPr>
          <w:rFonts w:ascii="Arial" w:cs="Arial" w:eastAsia="Arial" w:hAnsi="Arial"/>
          <w:sz w:val="18"/>
          <w:szCs w:val="18"/>
          <w:color w:val="auto"/>
        </w:rPr>
        <w:t>our ADSs. Upon completion of this offering, we will have</w:t>
      </w:r>
      <w:r>
        <w:rPr>
          <w:sz w:val="20"/>
          <w:szCs w:val="20"/>
          <w:color w:val="auto"/>
        </w:rPr>
        <w:tab/>
      </w:r>
      <w:r>
        <w:rPr>
          <w:rFonts w:ascii="Arial" w:cs="Arial" w:eastAsia="Arial" w:hAnsi="Arial"/>
          <w:sz w:val="18"/>
          <w:szCs w:val="18"/>
          <w:color w:val="auto"/>
        </w:rPr>
        <w:t>ordinary shares outstanding, including</w:t>
      </w:r>
      <w:r>
        <w:rPr>
          <w:sz w:val="20"/>
          <w:szCs w:val="20"/>
          <w:color w:val="auto"/>
        </w:rPr>
        <w:tab/>
      </w:r>
      <w:r>
        <w:rPr>
          <w:rFonts w:ascii="Arial" w:cs="Arial" w:eastAsia="Arial" w:hAnsi="Arial"/>
          <w:sz w:val="15"/>
          <w:szCs w:val="15"/>
          <w:color w:val="auto"/>
        </w:rPr>
        <w:t>ordinary shares represented by</w:t>
      </w:r>
    </w:p>
    <w:p>
      <w:pPr>
        <w:spacing w:after="0" w:line="8" w:lineRule="exact"/>
        <w:rPr>
          <w:sz w:val="20"/>
          <w:szCs w:val="20"/>
          <w:color w:val="auto"/>
        </w:rPr>
      </w:pPr>
    </w:p>
    <w:p>
      <w:pPr>
        <w:ind w:left="240"/>
        <w:spacing w:after="0"/>
        <w:tabs>
          <w:tab w:leader="none" w:pos="7500" w:val="left"/>
        </w:tabs>
        <w:rPr>
          <w:sz w:val="20"/>
          <w:szCs w:val="20"/>
          <w:color w:val="auto"/>
        </w:rPr>
      </w:pPr>
      <w:r>
        <w:rPr>
          <w:rFonts w:ascii="Arial" w:cs="Arial" w:eastAsia="Arial" w:hAnsi="Arial"/>
          <w:sz w:val="18"/>
          <w:szCs w:val="18"/>
          <w:color w:val="auto"/>
        </w:rPr>
        <w:t>ADSs, assuming the underwriters do not exercise the over-allotment option. In addition, as of</w:t>
      </w:r>
      <w:r>
        <w:rPr>
          <w:sz w:val="20"/>
          <w:szCs w:val="20"/>
          <w:color w:val="auto"/>
        </w:rPr>
        <w:tab/>
      </w:r>
      <w:r>
        <w:rPr>
          <w:rFonts w:ascii="Arial" w:cs="Arial" w:eastAsia="Arial" w:hAnsi="Arial"/>
          <w:sz w:val="15"/>
          <w:szCs w:val="15"/>
          <w:color w:val="auto"/>
        </w:rPr>
        <w:t>, there are outstanding options to purchase</w:t>
      </w:r>
    </w:p>
    <w:p>
      <w:pPr>
        <w:spacing w:after="0" w:line="8" w:lineRule="exact"/>
        <w:rPr>
          <w:sz w:val="20"/>
          <w:szCs w:val="20"/>
          <w:color w:val="auto"/>
        </w:rPr>
      </w:pPr>
    </w:p>
    <w:p>
      <w:pPr>
        <w:ind w:left="240"/>
        <w:spacing w:after="0"/>
        <w:tabs>
          <w:tab w:leader="none" w:pos="4620" w:val="left"/>
          <w:tab w:leader="none" w:pos="8280" w:val="left"/>
        </w:tabs>
        <w:rPr>
          <w:sz w:val="20"/>
          <w:szCs w:val="20"/>
          <w:color w:val="auto"/>
        </w:rPr>
      </w:pPr>
      <w:r>
        <w:rPr>
          <w:rFonts w:ascii="Arial" w:cs="Arial" w:eastAsia="Arial" w:hAnsi="Arial"/>
          <w:sz w:val="18"/>
          <w:szCs w:val="18"/>
          <w:color w:val="auto"/>
        </w:rPr>
        <w:t>of our ordinary shares, including options to purchase</w:t>
      </w:r>
      <w:r>
        <w:rPr>
          <w:sz w:val="20"/>
          <w:szCs w:val="20"/>
          <w:color w:val="auto"/>
        </w:rPr>
        <w:tab/>
      </w:r>
      <w:r>
        <w:rPr>
          <w:rFonts w:ascii="Arial" w:cs="Arial" w:eastAsia="Arial" w:hAnsi="Arial"/>
          <w:sz w:val="18"/>
          <w:szCs w:val="18"/>
          <w:color w:val="auto"/>
        </w:rPr>
        <w:t>ordinary shares that are exercisable within</w:t>
      </w:r>
      <w:r>
        <w:rPr>
          <w:sz w:val="20"/>
          <w:szCs w:val="20"/>
          <w:color w:val="auto"/>
        </w:rPr>
        <w:tab/>
      </w:r>
      <w:r>
        <w:rPr>
          <w:rFonts w:ascii="Arial" w:cs="Arial" w:eastAsia="Arial" w:hAnsi="Arial"/>
          <w:sz w:val="15"/>
          <w:szCs w:val="15"/>
          <w:color w:val="auto"/>
        </w:rPr>
        <w:t>days after the date of this prospectus.</w:t>
      </w:r>
    </w:p>
    <w:p>
      <w:pPr>
        <w:spacing w:after="0" w:line="8" w:lineRule="exact"/>
        <w:rPr>
          <w:sz w:val="20"/>
          <w:szCs w:val="20"/>
          <w:color w:val="auto"/>
        </w:rPr>
      </w:pPr>
    </w:p>
    <w:p>
      <w:pPr>
        <w:ind w:left="240" w:right="80"/>
        <w:spacing w:after="0" w:line="252" w:lineRule="auto"/>
        <w:rPr>
          <w:sz w:val="20"/>
          <w:szCs w:val="20"/>
          <w:color w:val="auto"/>
        </w:rPr>
      </w:pPr>
      <w:r>
        <w:rPr>
          <w:rFonts w:ascii="Arial" w:cs="Arial" w:eastAsia="Arial" w:hAnsi="Arial"/>
          <w:sz w:val="18"/>
          <w:szCs w:val="18"/>
          <w:color w:val="auto"/>
        </w:rPr>
        <w:t>All of the ADSs sold in this offering will be freely tradable without any restriction or further registration under the U.S. Securities Act of 1933, as amended, or the Securities Act, unless held by our “affiliates” as that term is defined in Rule 144 under the Securities Act. All of our shares outstanding prior to this offering are “restricted securities” as defined in Rule 144 and, in the absence of registration, may not be sold other than in accordance with Rule 144 under the Securities Act or another exemption from registration.</w:t>
      </w:r>
    </w:p>
    <w:p>
      <w:pPr>
        <w:spacing w:after="0" w:line="298" w:lineRule="exact"/>
        <w:rPr>
          <w:sz w:val="20"/>
          <w:szCs w:val="20"/>
          <w:color w:val="auto"/>
        </w:rPr>
      </w:pPr>
    </w:p>
    <w:p>
      <w:pPr>
        <w:ind w:left="240" w:right="120"/>
        <w:spacing w:after="0" w:line="275"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direct how the ordinary shares which are represented by your ADSs are voted.</w:t>
      </w:r>
    </w:p>
    <w:p>
      <w:pPr>
        <w:spacing w:after="0" w:line="63" w:lineRule="exact"/>
        <w:rPr>
          <w:sz w:val="20"/>
          <w:szCs w:val="20"/>
          <w:color w:val="auto"/>
        </w:rPr>
      </w:pPr>
    </w:p>
    <w:p>
      <w:pPr>
        <w:ind w:left="240" w:firstLine="438"/>
        <w:spacing w:after="0" w:line="281" w:lineRule="auto"/>
        <w:rPr>
          <w:sz w:val="20"/>
          <w:szCs w:val="20"/>
          <w:color w:val="auto"/>
        </w:rPr>
      </w:pPr>
      <w:r>
        <w:rPr>
          <w:rFonts w:ascii="Arial" w:cs="Arial" w:eastAsia="Arial" w:hAnsi="Arial"/>
          <w:sz w:val="16"/>
          <w:szCs w:val="16"/>
          <w:color w:val="auto"/>
        </w:rPr>
        <w:t>Holders of ADSs do not have the same rights as our registered shareholders. As a holder of our ADSs, you will not have any direct right to attend general meetings of our shareholders or to cast any votes at such meetings. You will only be able to exercise the voting rights which are carried by the underlying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ordinary shares which are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ordinary shares represented by your ADSs unless you withdraw the shares and become the registered holder of such shares prior to the record date for the general meeting. Under our post-IPO amended and restated memorandum and articles of association which will become effective immediately upon completion of this offering, the minimum notice period required for convening a general meeting is 10 days. When a general meeting is convened, you may not receive sufficient advance notice of the meeting to withdraw the shares underlying your ADSs and to vote directly with respect to any specific matter or resolution to be considered and voted upon at the general meeting. In addition, under our post-IPO articles of association that will become effective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w:t>
      </w:r>
    </w:p>
    <w:p>
      <w:pPr>
        <w:spacing w:after="0" w:line="5" w:lineRule="exact"/>
        <w:rPr>
          <w:sz w:val="20"/>
          <w:szCs w:val="20"/>
          <w:color w:val="auto"/>
        </w:rPr>
      </w:pPr>
    </w:p>
    <w:p>
      <w:pPr>
        <w:ind w:left="240" w:right="60"/>
        <w:spacing w:after="0" w:line="251" w:lineRule="auto"/>
        <w:rPr>
          <w:sz w:val="20"/>
          <w:szCs w:val="20"/>
          <w:color w:val="auto"/>
        </w:rPr>
      </w:pPr>
      <w:r>
        <w:rPr>
          <w:rFonts w:ascii="Arial" w:cs="Arial" w:eastAsia="Arial" w:hAnsi="Arial"/>
          <w:sz w:val="18"/>
          <w:szCs w:val="18"/>
          <w:color w:val="auto"/>
        </w:rPr>
        <w:t>to give the depositary at least days’ prior notice of shareholder meetings. Nevertheless, we cannot assure you that you will receive the voting materials in time to ensure that you can instruct the depositary to vote the underlying shares represented by your ADSs.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7"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5" w:lineRule="exact"/>
        <w:rPr>
          <w:sz w:val="20"/>
          <w:szCs w:val="20"/>
          <w:color w:val="auto"/>
        </w:rPr>
      </w:pPr>
    </w:p>
    <w:p>
      <w:pPr>
        <w:ind w:left="240" w:right="60" w:firstLine="438"/>
        <w:spacing w:after="0" w:line="290"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70" w:lineRule="exact"/>
        <w:rPr>
          <w:sz w:val="20"/>
          <w:szCs w:val="20"/>
          <w:color w:val="auto"/>
        </w:rPr>
      </w:pPr>
    </w:p>
    <w:p>
      <w:pPr>
        <w:ind w:left="240" w:right="60"/>
        <w:spacing w:after="0" w:line="275"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our ordinary shares underlying your ADSs if you do not vote at shareholders’ meetings, except in limited circumstances, which could adversely affect your interests.</w:t>
      </w:r>
    </w:p>
    <w:p>
      <w:pPr>
        <w:spacing w:after="0" w:line="63" w:lineRule="exact"/>
        <w:rPr>
          <w:sz w:val="20"/>
          <w:szCs w:val="20"/>
          <w:color w:val="auto"/>
        </w:rPr>
      </w:pPr>
    </w:p>
    <w:p>
      <w:pPr>
        <w:ind w:left="240" w:right="580" w:firstLine="438"/>
        <w:spacing w:after="0" w:line="275" w:lineRule="auto"/>
        <w:rPr>
          <w:sz w:val="20"/>
          <w:szCs w:val="20"/>
          <w:color w:val="auto"/>
        </w:rPr>
      </w:pPr>
      <w:r>
        <w:rPr>
          <w:rFonts w:ascii="Arial" w:cs="Arial" w:eastAsia="Arial" w:hAnsi="Arial"/>
          <w:sz w:val="18"/>
          <w:szCs w:val="18"/>
          <w:color w:val="auto"/>
        </w:rPr>
        <w:t>Under the deposit agreement for the ADSs, if you do not vote, the depositary will give us a discretionary proxy to vote our ordinary shares underlying your ADSs at shareholders’ meetings unless:</w:t>
      </w:r>
    </w:p>
    <w:p>
      <w:pPr>
        <w:spacing w:after="0" w:line="76" w:lineRule="exact"/>
        <w:rPr>
          <w:sz w:val="20"/>
          <w:szCs w:val="20"/>
          <w:color w:val="auto"/>
        </w:rPr>
      </w:pPr>
    </w:p>
    <w:p>
      <w:pPr>
        <w:ind w:left="1100" w:hanging="327"/>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notice of meeting and related voting materials;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128" w:lineRule="exact"/>
        <w:rPr>
          <w:rFonts w:ascii="Arial" w:cs="Arial" w:eastAsia="Arial" w:hAnsi="Arial"/>
          <w:sz w:val="18"/>
          <w:szCs w:val="18"/>
          <w:color w:val="auto"/>
        </w:rPr>
      </w:pPr>
    </w:p>
    <w:p>
      <w:pPr>
        <w:jc w:val="both"/>
        <w:ind w:left="1100" w:hanging="327"/>
        <w:spacing w:after="0" w:line="284" w:lineRule="auto"/>
        <w:tabs>
          <w:tab w:leader="none" w:pos="11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 of this discretionary proxy is that if you do not vote at shareholders’ meetings, you cannot prevent our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not receive cash dividends if the depositary decides it is impractical to make them available to you.</w:t>
      </w:r>
    </w:p>
    <w:p>
      <w:pPr>
        <w:spacing w:after="0" w:line="115" w:lineRule="exact"/>
        <w:rPr>
          <w:sz w:val="20"/>
          <w:szCs w:val="20"/>
          <w:color w:val="auto"/>
        </w:rPr>
      </w:pPr>
    </w:p>
    <w:p>
      <w:pPr>
        <w:ind w:left="240" w:right="60" w:firstLine="438"/>
        <w:spacing w:after="0" w:line="252" w:lineRule="auto"/>
        <w:rPr>
          <w:sz w:val="20"/>
          <w:szCs w:val="20"/>
          <w:color w:val="auto"/>
        </w:rPr>
      </w:pPr>
      <w:r>
        <w:rPr>
          <w:rFonts w:ascii="Arial" w:cs="Arial" w:eastAsia="Arial" w:hAnsi="Arial"/>
          <w:sz w:val="18"/>
          <w:szCs w:val="18"/>
          <w:color w:val="auto"/>
        </w:rPr>
        <w:t>The depositary will pay cash dividends on the ADSs only to the extent that we decide to distribute dividends on our ordinary shares or other deposited securities, and we do not have any present plan to pay any cash dividends in the foreseeable future. See “Dividend Policy.” To the extent that there is a distribution, 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5" w:lineRule="exact"/>
        <w:rPr>
          <w:sz w:val="20"/>
          <w:szCs w:val="20"/>
          <w:color w:val="auto"/>
        </w:rPr>
      </w:pPr>
    </w:p>
    <w:p>
      <w:pPr>
        <w:ind w:left="240" w:right="140" w:firstLine="438"/>
        <w:spacing w:after="0" w:line="262"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it expedient in connection with the performance of its duties. The depositary may close its books from time to time for a number of reasons, including in connection with corporate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7"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spacing w:after="0" w:line="255" w:lineRule="auto"/>
        <w:rPr>
          <w:sz w:val="20"/>
          <w:szCs w:val="20"/>
          <w:color w:val="auto"/>
        </w:rPr>
      </w:pPr>
      <w:r>
        <w:rPr>
          <w:rFonts w:ascii="Arial" w:cs="Arial" w:eastAsia="Arial" w:hAnsi="Arial"/>
          <w:sz w:val="18"/>
          <w:szCs w:val="18"/>
          <w:color w:val="auto"/>
        </w:rPr>
        <w:t>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5" w:lineRule="exact"/>
        <w:rPr>
          <w:sz w:val="20"/>
          <w:szCs w:val="20"/>
          <w:color w:val="auto"/>
        </w:rPr>
      </w:pPr>
    </w:p>
    <w:p>
      <w:pPr>
        <w:ind w:left="240" w:right="20" w:firstLine="438"/>
        <w:spacing w:after="0" w:line="290" w:lineRule="auto"/>
        <w:rPr>
          <w:sz w:val="20"/>
          <w:szCs w:val="20"/>
          <w:color w:val="auto"/>
        </w:rPr>
      </w:pPr>
      <w:r>
        <w:rPr>
          <w:rFonts w:ascii="Arial" w:cs="Arial" w:eastAsia="Arial" w:hAnsi="Arial"/>
          <w:sz w:val="16"/>
          <w:szCs w:val="16"/>
          <w:color w:val="auto"/>
        </w:rPr>
        <w:t>We are an exempted company incorporated under the laws of the Cayman Islands. We conduct our operations outside the United States and substantially all of our assets are located outside the United States. In addition, substantially all of our directors and executive officers and the experts named in this prospectus reside outside the United States, and most of their assets are located outside the United States. As a result, it may be difficult or impossible for you to bring an action against us or against them in the United States in the event that you believe that your rights have been infringed under the U.S. federal securities laws or otherwise. Even if you are successful in bringing an action of this kind, the laws of the Cayman Islands, Hong Kong, China or other relevant jurisdiction may render you unable to enforce a judgment against our assets or the assets of our directors and officers. For more information regarding the relevant laws of the Cayman Islands and China, see “Enforceability of Civil Liabilities.”</w:t>
      </w:r>
    </w:p>
    <w:p>
      <w:pPr>
        <w:spacing w:after="0" w:line="270" w:lineRule="exact"/>
        <w:rPr>
          <w:sz w:val="20"/>
          <w:szCs w:val="20"/>
          <w:color w:val="auto"/>
        </w:rPr>
      </w:pPr>
    </w:p>
    <w:p>
      <w:pPr>
        <w:ind w:left="240" w:right="440"/>
        <w:spacing w:after="0" w:line="275"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3" w:lineRule="exact"/>
        <w:rPr>
          <w:sz w:val="20"/>
          <w:szCs w:val="20"/>
          <w:color w:val="auto"/>
        </w:rPr>
      </w:pPr>
    </w:p>
    <w:p>
      <w:pPr>
        <w:ind w:left="240" w:right="20" w:firstLine="438"/>
        <w:spacing w:after="0" w:line="286" w:lineRule="auto"/>
        <w:rPr>
          <w:sz w:val="20"/>
          <w:szCs w:val="20"/>
          <w:color w:val="auto"/>
        </w:rPr>
      </w:pPr>
      <w:r>
        <w:rPr>
          <w:rFonts w:ascii="Arial" w:cs="Arial" w:eastAsia="Arial" w:hAnsi="Arial"/>
          <w:sz w:val="16"/>
          <w:szCs w:val="16"/>
          <w:color w:val="auto"/>
        </w:rPr>
        <w:t>We are an exempted company limited by shares incorporated under the laws of the Cayman Islands. Our corporate affairs are governed by our memorandum and articles of association, the Companies Law (2018 Revision)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1" w:lineRule="exact"/>
        <w:rPr>
          <w:sz w:val="20"/>
          <w:szCs w:val="20"/>
          <w:color w:val="auto"/>
        </w:rPr>
      </w:pPr>
    </w:p>
    <w:p>
      <w:pPr>
        <w:ind w:left="240" w:firstLine="438"/>
        <w:spacing w:after="0" w:line="272"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or to obtain copies of lists of shareholders of these companies. Our directors have discretion under our existing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75" w:lineRule="exact"/>
        <w:rPr>
          <w:sz w:val="20"/>
          <w:szCs w:val="20"/>
          <w:color w:val="auto"/>
        </w:rPr>
      </w:pPr>
    </w:p>
    <w:p>
      <w:pPr>
        <w:ind w:left="240" w:right="220" w:firstLine="438"/>
        <w:spacing w:after="0" w:line="277"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7"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40" w:firstLine="438"/>
        <w:spacing w:after="0" w:line="300"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262" w:lineRule="exact"/>
        <w:rPr>
          <w:sz w:val="20"/>
          <w:szCs w:val="20"/>
          <w:color w:val="auto"/>
        </w:rPr>
      </w:pPr>
    </w:p>
    <w:p>
      <w:pPr>
        <w:ind w:left="240"/>
        <w:spacing w:after="0" w:line="373" w:lineRule="auto"/>
        <w:rPr>
          <w:sz w:val="20"/>
          <w:szCs w:val="20"/>
          <w:color w:val="auto"/>
        </w:rPr>
      </w:pPr>
      <w:r>
        <w:rPr>
          <w:rFonts w:ascii="Arial" w:cs="Arial" w:eastAsia="Arial" w:hAnsi="Arial"/>
          <w:sz w:val="15"/>
          <w:szCs w:val="15"/>
          <w:b w:val="1"/>
          <w:bCs w:val="1"/>
          <w:i w:val="1"/>
          <w:iCs w:val="1"/>
          <w:color w:val="auto"/>
        </w:rPr>
        <w:t>Our amended and restated memorandum and articles of association contain anti-takeover provisions that could discourage a third party from acquiring us, which could limit our shareholders’ opportunity to sell their shares, including ordinary shares represented by our ADSs, at a premium.</w:t>
      </w:r>
    </w:p>
    <w:p>
      <w:pPr>
        <w:spacing w:after="0" w:line="1" w:lineRule="exact"/>
        <w:rPr>
          <w:sz w:val="20"/>
          <w:szCs w:val="20"/>
          <w:color w:val="auto"/>
        </w:rPr>
      </w:pPr>
    </w:p>
    <w:p>
      <w:pPr>
        <w:ind w:left="240" w:firstLine="438"/>
        <w:spacing w:after="0" w:line="285" w:lineRule="auto"/>
        <w:rPr>
          <w:sz w:val="20"/>
          <w:szCs w:val="20"/>
          <w:color w:val="auto"/>
        </w:rPr>
      </w:pPr>
      <w:r>
        <w:rPr>
          <w:rFonts w:ascii="Arial" w:cs="Arial" w:eastAsia="Arial" w:hAnsi="Arial"/>
          <w:sz w:val="16"/>
          <w:szCs w:val="16"/>
          <w:color w:val="auto"/>
        </w:rPr>
        <w:t>We will adopt an amended and restated memorandum and articles of association that will become effective immediately upon completion of this offering. Our post-IPO memorandum and articles of association contain provisions to limit the ability of others to acquire control of our company or cause us to engage in change-of-control transactions,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any or all which may be greater than the rights associated with our ordinary shares, in the form of ADSs.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ordinary shares and ADSs may be materially and adversely affected.</w:t>
      </w:r>
    </w:p>
    <w:p>
      <w:pPr>
        <w:spacing w:after="0" w:line="275" w:lineRule="exact"/>
        <w:rPr>
          <w:sz w:val="20"/>
          <w:szCs w:val="20"/>
          <w:color w:val="auto"/>
        </w:rPr>
      </w:pPr>
    </w:p>
    <w:p>
      <w:pPr>
        <w:ind w:left="240" w:right="660"/>
        <w:spacing w:after="0" w:line="275"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3" w:lineRule="exact"/>
        <w:rPr>
          <w:sz w:val="20"/>
          <w:szCs w:val="20"/>
          <w:color w:val="auto"/>
        </w:rPr>
      </w:pPr>
    </w:p>
    <w:p>
      <w:pPr>
        <w:ind w:left="240" w:right="740" w:firstLine="438"/>
        <w:spacing w:after="0" w:line="275"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100" w:hanging="327"/>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40" w:lineRule="exact"/>
        <w:rPr>
          <w:rFonts w:ascii="Arial" w:cs="Arial" w:eastAsia="Arial" w:hAnsi="Arial"/>
          <w:sz w:val="17"/>
          <w:szCs w:val="17"/>
          <w:color w:val="auto"/>
        </w:rPr>
      </w:pPr>
    </w:p>
    <w:p>
      <w:pPr>
        <w:ind w:left="1100" w:right="220" w:hanging="327"/>
        <w:spacing w:after="0" w:line="275"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6" w:lineRule="exact"/>
        <w:rPr>
          <w:rFonts w:ascii="Arial" w:cs="Arial" w:eastAsia="Arial" w:hAnsi="Arial"/>
          <w:sz w:val="18"/>
          <w:szCs w:val="18"/>
          <w:color w:val="auto"/>
        </w:rPr>
      </w:pPr>
    </w:p>
    <w:p>
      <w:pPr>
        <w:ind w:left="1100" w:right="440" w:hanging="327"/>
        <w:spacing w:after="0" w:line="275"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6" w:lineRule="exact"/>
        <w:rPr>
          <w:rFonts w:ascii="Arial" w:cs="Arial" w:eastAsia="Arial" w:hAnsi="Arial"/>
          <w:sz w:val="18"/>
          <w:szCs w:val="18"/>
          <w:color w:val="auto"/>
        </w:rPr>
      </w:pPr>
    </w:p>
    <w:p>
      <w:pPr>
        <w:ind w:left="1100" w:hanging="327"/>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3" w:lineRule="exact"/>
        <w:rPr>
          <w:sz w:val="20"/>
          <w:szCs w:val="20"/>
          <w:color w:val="auto"/>
        </w:rPr>
      </w:pPr>
    </w:p>
    <w:p>
      <w:pPr>
        <w:ind w:left="240" w:right="120" w:firstLine="438"/>
        <w:spacing w:after="0" w:line="295" w:lineRule="auto"/>
        <w:rPr>
          <w:sz w:val="20"/>
          <w:szCs w:val="20"/>
          <w:color w:val="auto"/>
        </w:rPr>
      </w:pPr>
      <w:r>
        <w:rPr>
          <w:rFonts w:ascii="Arial" w:cs="Arial" w:eastAsia="Arial" w:hAnsi="Arial"/>
          <w:sz w:val="16"/>
          <w:szCs w:val="16"/>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457"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40"/>
        <w:spacing w:after="0" w:line="284" w:lineRule="auto"/>
        <w:rPr>
          <w:sz w:val="20"/>
          <w:szCs w:val="20"/>
          <w:color w:val="auto"/>
        </w:rPr>
      </w:pPr>
      <w:r>
        <w:rPr>
          <w:rFonts w:ascii="Arial" w:cs="Arial" w:eastAsia="Arial" w:hAnsi="Arial"/>
          <w:sz w:val="17"/>
          <w:szCs w:val="17"/>
          <w:b w:val="1"/>
          <w:bCs w:val="1"/>
          <w:i w:val="1"/>
          <w:iCs w:val="1"/>
          <w:color w:val="auto"/>
        </w:rPr>
        <w:t>As a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58" w:lineRule="exact"/>
        <w:rPr>
          <w:sz w:val="20"/>
          <w:szCs w:val="20"/>
          <w:color w:val="auto"/>
        </w:rPr>
      </w:pPr>
    </w:p>
    <w:p>
      <w:pPr>
        <w:jc w:val="both"/>
        <w:ind w:left="240" w:right="340" w:firstLine="438"/>
        <w:spacing w:after="0" w:line="257" w:lineRule="auto"/>
        <w:rPr>
          <w:sz w:val="20"/>
          <w:szCs w:val="20"/>
          <w:color w:val="auto"/>
        </w:rPr>
      </w:pPr>
      <w:r>
        <w:rPr>
          <w:rFonts w:ascii="Arial" w:cs="Arial" w:eastAsia="Arial" w:hAnsi="Arial"/>
          <w:sz w:val="18"/>
          <w:szCs w:val="18"/>
          <w:color w:val="auto"/>
        </w:rPr>
        <w:t>As a Cayman Islands company listed on the Nasdaq Global Market, we are subject to the Nasdaq Global Market corporate governance listing standards. However, the Nasdaq Global Market rules permit a foreign private issuer like us to follow the corporate governance practices of its home country. Certain corporate governance practices in the Cayman Islands, which is our home country, may differ significantly from the Nasdaq Global Market corporate governance listing standards.</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instance, we are not required to:</w:t>
      </w:r>
    </w:p>
    <w:p>
      <w:pPr>
        <w:spacing w:after="0" w:line="129" w:lineRule="exact"/>
        <w:rPr>
          <w:sz w:val="20"/>
          <w:szCs w:val="20"/>
          <w:color w:val="auto"/>
        </w:rPr>
      </w:pPr>
    </w:p>
    <w:p>
      <w:pPr>
        <w:ind w:left="1100" w:right="160" w:hanging="327"/>
        <w:spacing w:after="0" w:line="275"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a majority of the board be independent (although all of the members of the audit committee must be independent under the Exchange Act);</w:t>
      </w:r>
    </w:p>
    <w:p>
      <w:pPr>
        <w:spacing w:after="0" w:line="76" w:lineRule="exact"/>
        <w:rPr>
          <w:rFonts w:ascii="Arial" w:cs="Arial" w:eastAsia="Arial" w:hAnsi="Arial"/>
          <w:sz w:val="18"/>
          <w:szCs w:val="18"/>
          <w:color w:val="auto"/>
        </w:rPr>
      </w:pPr>
    </w:p>
    <w:p>
      <w:pPr>
        <w:ind w:left="1100" w:hanging="327"/>
        <w:spacing w:after="0"/>
        <w:tabs>
          <w:tab w:leader="none" w:pos="11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have a compensation committee or a nominating and corporate governance committee consisting entirely of independent directors; or</w:t>
      </w:r>
    </w:p>
    <w:p>
      <w:pPr>
        <w:spacing w:after="0" w:line="140" w:lineRule="exact"/>
        <w:rPr>
          <w:rFonts w:ascii="Arial" w:cs="Arial" w:eastAsia="Arial" w:hAnsi="Arial"/>
          <w:sz w:val="17"/>
          <w:szCs w:val="17"/>
          <w:color w:val="auto"/>
        </w:rPr>
      </w:pPr>
    </w:p>
    <w:p>
      <w:pPr>
        <w:ind w:left="1100" w:hanging="327"/>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regularly scheduled executive sessions with only independent directors each year.</w:t>
      </w:r>
    </w:p>
    <w:p>
      <w:pPr>
        <w:spacing w:after="0" w:line="223" w:lineRule="exact"/>
        <w:rPr>
          <w:sz w:val="20"/>
          <w:szCs w:val="20"/>
          <w:color w:val="auto"/>
        </w:rPr>
      </w:pPr>
    </w:p>
    <w:p>
      <w:pPr>
        <w:ind w:left="240" w:right="860" w:firstLine="438"/>
        <w:spacing w:after="0" w:line="275" w:lineRule="auto"/>
        <w:rPr>
          <w:sz w:val="20"/>
          <w:szCs w:val="20"/>
          <w:color w:val="auto"/>
        </w:rPr>
      </w:pPr>
      <w:r>
        <w:rPr>
          <w:rFonts w:ascii="Arial" w:cs="Arial" w:eastAsia="Arial" w:hAnsi="Arial"/>
          <w:sz w:val="18"/>
          <w:szCs w:val="18"/>
          <w:color w:val="auto"/>
        </w:rPr>
        <w:t>We intend to rely on some of these exemptions. As a result, you may not be provided with the benefits of certain corporate governance requirements of the Nasdaq Global Market.</w:t>
      </w:r>
    </w:p>
    <w:p>
      <w:pPr>
        <w:spacing w:after="0" w:line="278" w:lineRule="exact"/>
        <w:rPr>
          <w:sz w:val="20"/>
          <w:szCs w:val="20"/>
          <w:color w:val="auto"/>
        </w:rPr>
      </w:pPr>
    </w:p>
    <w:p>
      <w:pPr>
        <w:ind w:left="240" w:right="240"/>
        <w:spacing w:after="0" w:line="275"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63" w:lineRule="exact"/>
        <w:rPr>
          <w:sz w:val="20"/>
          <w:szCs w:val="20"/>
          <w:color w:val="auto"/>
        </w:rPr>
      </w:pPr>
    </w:p>
    <w:p>
      <w:pPr>
        <w:ind w:left="240" w:right="120" w:firstLine="438"/>
        <w:spacing w:after="0" w:line="274" w:lineRule="auto"/>
        <w:rPr>
          <w:sz w:val="20"/>
          <w:szCs w:val="20"/>
          <w:color w:val="auto"/>
        </w:rPr>
      </w:pPr>
      <w:r>
        <w:rPr>
          <w:rFonts w:ascii="Arial" w:cs="Arial" w:eastAsia="Arial" w:hAnsi="Arial"/>
          <w:sz w:val="17"/>
          <w:szCs w:val="17"/>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our ADS price, nor that these net proceeds will be placed only in investments that generate income or appreciate in value.</w:t>
      </w:r>
    </w:p>
    <w:p>
      <w:pPr>
        <w:spacing w:after="0" w:line="281" w:lineRule="exact"/>
        <w:rPr>
          <w:sz w:val="20"/>
          <w:szCs w:val="20"/>
          <w:color w:val="auto"/>
        </w:rPr>
      </w:pPr>
    </w:p>
    <w:p>
      <w:pPr>
        <w:ind w:left="240"/>
        <w:spacing w:after="0" w:line="262" w:lineRule="auto"/>
        <w:rPr>
          <w:sz w:val="20"/>
          <w:szCs w:val="20"/>
          <w:color w:val="auto"/>
        </w:rPr>
      </w:pPr>
      <w:r>
        <w:rPr>
          <w:rFonts w:ascii="Arial" w:cs="Arial" w:eastAsia="Arial" w:hAnsi="Arial"/>
          <w:sz w:val="18"/>
          <w:szCs w:val="18"/>
          <w:b w:val="1"/>
          <w:bCs w:val="1"/>
          <w:i w:val="1"/>
          <w:iCs w:val="1"/>
          <w:color w:val="auto"/>
        </w:rPr>
        <w:t>There can be no assurance that we will not be a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74" w:lineRule="exact"/>
        <w:rPr>
          <w:sz w:val="20"/>
          <w:szCs w:val="20"/>
          <w:color w:val="auto"/>
        </w:rPr>
      </w:pPr>
    </w:p>
    <w:p>
      <w:pPr>
        <w:ind w:left="240" w:right="20" w:firstLine="438"/>
        <w:spacing w:after="0" w:line="268" w:lineRule="auto"/>
        <w:rPr>
          <w:sz w:val="20"/>
          <w:szCs w:val="20"/>
          <w:color w:val="auto"/>
        </w:rPr>
      </w:pPr>
      <w:r>
        <w:rPr>
          <w:rFonts w:ascii="Arial" w:cs="Arial" w:eastAsia="Arial" w:hAnsi="Arial"/>
          <w:sz w:val="17"/>
          <w:szCs w:val="17"/>
          <w:color w:val="auto"/>
        </w:rPr>
        <w:t>We will be classified as a passive foreign investment company, or PFIC, for any taxable year if either (a) 75% or more of our gross income for such year consists of certain types of “passive” income or (b) 50% or more of the value of our assets (determined on the basis of a quarterly average) during such year produce or are held for the production of passive income (the “asset test”). Although the law in this regard is unclear, we intend to treat our VIE (including its subsidiary) as being owned by us for United States federal income tax purposes, not only because we exercise effective control over the operation of such entities but also because we are entitled to substantially all of their economic benefits, and, as a result, we consolidate their results of operations in our consolidated financial statements. Assuming that we are the owner of our VIE (including its subsidiary) for United States federal income tax purposes, and based upon our current and expected income and assets, including goodwill (taking into account the expected proceeds from this offering) and projections as to the market price of our ADSs following the offering, we do not presently expect to be a PFIC for the current taxable year or the foreseeable future.</w:t>
      </w:r>
    </w:p>
    <w:p>
      <w:pPr>
        <w:spacing w:after="0" w:line="184" w:lineRule="exact"/>
        <w:rPr>
          <w:sz w:val="20"/>
          <w:szCs w:val="20"/>
          <w:color w:val="auto"/>
        </w:rPr>
      </w:pPr>
    </w:p>
    <w:p>
      <w:pPr>
        <w:ind w:left="240" w:right="300" w:firstLine="438"/>
        <w:spacing w:after="0" w:line="275" w:lineRule="auto"/>
        <w:rPr>
          <w:sz w:val="20"/>
          <w:szCs w:val="20"/>
          <w:color w:val="auto"/>
        </w:rPr>
      </w:pPr>
      <w:r>
        <w:rPr>
          <w:rFonts w:ascii="Arial" w:cs="Arial" w:eastAsia="Arial" w:hAnsi="Arial"/>
          <w:sz w:val="18"/>
          <w:szCs w:val="18"/>
          <w:color w:val="auto"/>
        </w:rPr>
        <w:t>While we do not expect to become a PFIC, because the value of our assets for purposes of the asset test may be determined by reference to the market price of our ADSs, fluctuations in the market price of our ADSs may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7"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spacing w:after="0" w:line="288" w:lineRule="auto"/>
        <w:rPr>
          <w:sz w:val="20"/>
          <w:szCs w:val="20"/>
          <w:color w:val="auto"/>
        </w:rPr>
      </w:pPr>
      <w:r>
        <w:rPr>
          <w:rFonts w:ascii="Arial" w:cs="Arial" w:eastAsia="Arial" w:hAnsi="Arial"/>
          <w:sz w:val="16"/>
          <w:szCs w:val="16"/>
          <w:color w:val="auto"/>
        </w:rPr>
        <w:t>cause us to become a PFIC for the current or subsequent taxable years. The determination of whether we will be or become a PFIC will also depend, in part, on the composition and classification of our income and assets. Because there are uncertainties in the application of the relevant rules, it is possible that the IRS may challenge our classification of certain income and assets as non-passive which may result in our being or becoming a PFIC in the current or subsequent years. In addition, the composition of our income and assets will also be affected by how, and how quickly, we use our liquid assets and the cash raised in this offering. If we determine not to deploy significant amounts of cash for active purposes or if it were determined that we do not own the stock of our VIE for United States federal income tax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w:t>
      </w:r>
    </w:p>
    <w:p>
      <w:pPr>
        <w:spacing w:after="0" w:line="167" w:lineRule="exact"/>
        <w:rPr>
          <w:sz w:val="20"/>
          <w:szCs w:val="20"/>
          <w:color w:val="auto"/>
        </w:rPr>
      </w:pPr>
    </w:p>
    <w:p>
      <w:pPr>
        <w:ind w:left="240" w:right="60" w:firstLine="438"/>
        <w:spacing w:after="0" w:line="253" w:lineRule="auto"/>
        <w:rPr>
          <w:sz w:val="20"/>
          <w:szCs w:val="20"/>
          <w:color w:val="auto"/>
        </w:rPr>
      </w:pPr>
      <w:r>
        <w:rPr>
          <w:rFonts w:ascii="Arial" w:cs="Arial" w:eastAsia="Arial" w:hAnsi="Arial"/>
          <w:sz w:val="18"/>
          <w:szCs w:val="18"/>
          <w:color w:val="auto"/>
        </w:rPr>
        <w:t>If we are a PFIC in any taxable year, a U.S. Holder (as defined in “Taxation—United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 continue to be treated as a PFIC for all succeeding years during which such U.S. Holder holds our ADSs or ordinary shares. For more information see “Taxation—United States Federal Income Tax Considerations—Passive Foreign Investment Company Rules.”</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will incur increased costs as a result of being a public company, particularly after we cease to qualify as an “emerging growth company.”</w:t>
      </w:r>
    </w:p>
    <w:p>
      <w:pPr>
        <w:spacing w:after="0" w:line="138"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 and Nasdaq Global Market, impose various requirements on the corporate governance practices of public companies. As a company with less than US$1.07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permits an emerging growth company to delay adopting new or revised accounting standards until such time as those standards apply to private companies.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80" w:lineRule="exact"/>
        <w:rPr>
          <w:sz w:val="20"/>
          <w:szCs w:val="20"/>
          <w:color w:val="auto"/>
        </w:rPr>
      </w:pPr>
    </w:p>
    <w:p>
      <w:pPr>
        <w:ind w:left="240" w:right="60" w:firstLine="438"/>
        <w:spacing w:after="0" w:line="286" w:lineRule="auto"/>
        <w:rPr>
          <w:sz w:val="20"/>
          <w:szCs w:val="20"/>
          <w:color w:val="auto"/>
        </w:rPr>
      </w:pPr>
      <w:r>
        <w:rPr>
          <w:rFonts w:ascii="Arial" w:cs="Arial" w:eastAsia="Arial" w:hAnsi="Arial"/>
          <w:sz w:val="16"/>
          <w:szCs w:val="16"/>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7"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7" w:lineRule="exact"/>
        <w:rPr>
          <w:sz w:val="20"/>
          <w:szCs w:val="20"/>
          <w:color w:val="auto"/>
        </w:rPr>
      </w:pPr>
    </w:p>
    <w:p>
      <w:pPr>
        <w:ind w:left="240" w:right="60" w:firstLine="438"/>
        <w:spacing w:after="0" w:line="255" w:lineRule="auto"/>
        <w:rPr>
          <w:sz w:val="20"/>
          <w:szCs w:val="20"/>
          <w:color w:val="auto"/>
        </w:rPr>
      </w:pPr>
      <w:r>
        <w:rPr>
          <w:rFonts w:ascii="Arial" w:cs="Arial" w:eastAsia="Arial" w:hAnsi="Arial"/>
          <w:sz w:val="18"/>
          <w:szCs w:val="18"/>
          <w:color w:val="auto"/>
        </w:rPr>
        <w:t>This prospectus contains forward-looking statements that reflect our current expectations and views of future events. The forward 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89" w:lineRule="exact"/>
        <w:rPr>
          <w:sz w:val="20"/>
          <w:szCs w:val="20"/>
          <w:color w:val="auto"/>
        </w:rPr>
      </w:pPr>
    </w:p>
    <w:p>
      <w:pPr>
        <w:ind w:left="240" w:right="60" w:firstLine="438"/>
        <w:spacing w:after="0" w:line="257"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4" w:lineRule="exact"/>
        <w:rPr>
          <w:sz w:val="20"/>
          <w:szCs w:val="20"/>
          <w:color w:val="auto"/>
        </w:rPr>
      </w:pPr>
    </w:p>
    <w:p>
      <w:pPr>
        <w:ind w:left="1100" w:hanging="32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mission, goals and strategies;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conditions and results of operations;</w:t>
      </w:r>
    </w:p>
    <w:p>
      <w:pPr>
        <w:spacing w:after="0" w:line="128" w:lineRule="exact"/>
        <w:rPr>
          <w:rFonts w:ascii="Arial" w:cs="Arial" w:eastAsia="Arial" w:hAnsi="Arial"/>
          <w:sz w:val="18"/>
          <w:szCs w:val="18"/>
          <w:color w:val="auto"/>
        </w:rPr>
      </w:pPr>
    </w:p>
    <w:p>
      <w:pPr>
        <w:ind w:left="1100" w:right="40" w:hanging="327"/>
        <w:spacing w:after="0" w:line="275"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trends in, expected growth and the market size of the online and mobile trading and other financial services industry, both in Hong Kong and globally;</w:t>
      </w:r>
    </w:p>
    <w:p>
      <w:pPr>
        <w:spacing w:after="0" w:line="76" w:lineRule="exact"/>
        <w:rPr>
          <w:rFonts w:ascii="Arial" w:cs="Arial" w:eastAsia="Arial" w:hAnsi="Arial"/>
          <w:sz w:val="18"/>
          <w:szCs w:val="18"/>
          <w:color w:val="auto"/>
        </w:rPr>
      </w:pPr>
    </w:p>
    <w:p>
      <w:pPr>
        <w:ind w:left="1100" w:hanging="32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regarding our relationships with users, clients and third-party business partners;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proposed use of proceeds;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 and</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business conditions in the markets we have businesses.</w:t>
      </w:r>
    </w:p>
    <w:p>
      <w:pPr>
        <w:spacing w:after="0" w:line="223" w:lineRule="exact"/>
        <w:rPr>
          <w:sz w:val="20"/>
          <w:szCs w:val="20"/>
          <w:color w:val="auto"/>
        </w:rPr>
      </w:pPr>
    </w:p>
    <w:p>
      <w:pPr>
        <w:ind w:left="240" w:firstLine="438"/>
        <w:spacing w:after="0" w:line="287" w:lineRule="auto"/>
        <w:rPr>
          <w:sz w:val="20"/>
          <w:szCs w:val="20"/>
          <w:color w:val="auto"/>
        </w:rPr>
      </w:pPr>
      <w:r>
        <w:rPr>
          <w:rFonts w:ascii="Arial" w:cs="Arial" w:eastAsia="Arial" w:hAnsi="Arial"/>
          <w:sz w:val="16"/>
          <w:szCs w:val="16"/>
          <w:color w:val="auto"/>
        </w:rPr>
        <w:t>These forward-looking statements involve various risks and uncertainties. Although we believe that our expectations expressed in these forward-looking statements are reasonable, our expectations and our actual results could be materially different from our expectations. Important risks and factors that could cause our actual results to be materially different from our expectations are generally set forth in “Prospectus Summary—Our Challenges,” “Risk Factors,” “Management’s Discussion and Analysis of Financial Condition and Results of Operations,” “Business,” “Regulation” and other sections in this prospectus.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68" w:lineRule="exact"/>
        <w:rPr>
          <w:sz w:val="20"/>
          <w:szCs w:val="20"/>
          <w:color w:val="auto"/>
        </w:rPr>
      </w:pPr>
    </w:p>
    <w:p>
      <w:pPr>
        <w:ind w:left="240" w:right="120" w:firstLine="438"/>
        <w:spacing w:after="0" w:line="269" w:lineRule="auto"/>
        <w:rPr>
          <w:sz w:val="20"/>
          <w:szCs w:val="20"/>
          <w:color w:val="auto"/>
        </w:rPr>
      </w:pPr>
      <w:r>
        <w:rPr>
          <w:rFonts w:ascii="Arial" w:cs="Arial" w:eastAsia="Arial" w:hAnsi="Arial"/>
          <w:sz w:val="17"/>
          <w:szCs w:val="17"/>
          <w:color w:val="auto"/>
        </w:rPr>
        <w:t>This prospectus contains certain data and information that we obtained from various government and private publications. Although we believe the data and information to be reliable, we have not independently verified the accuracy or completeness of the data and information contained in these publications. Statistical data in these publications also include projections based on a number of assumptions. The online brokerage and related industries may not grow at the rate projected by market data, or at all. Failure of these markets to grow at the projected rate may have a material and adverse effect on our business and the market price of our ADSs. In addition, the rapidly evolving nature of the online brokerage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7"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firstLine="438"/>
        <w:spacing w:after="0" w:line="295" w:lineRule="auto"/>
        <w:rPr>
          <w:sz w:val="20"/>
          <w:szCs w:val="20"/>
          <w:color w:val="auto"/>
        </w:rPr>
      </w:pPr>
      <w:r>
        <w:rPr>
          <w:rFonts w:ascii="Arial" w:cs="Arial" w:eastAsia="Arial" w:hAnsi="Arial"/>
          <w:sz w:val="16"/>
          <w:szCs w:val="16"/>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240" w:top="457" w:right="5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7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531"/>
        </w:trPr>
        <w:tc>
          <w:tcPr>
            <w:tcW w:w="1340" w:type="dxa"/>
            <w:vAlign w:val="bottom"/>
            <w:tcBorders>
              <w:top w:val="single" w:sz="8" w:color="0000EE"/>
            </w:tcBorders>
          </w:tcPr>
          <w:p>
            <w:pPr>
              <w:spacing w:after="0"/>
              <w:rPr>
                <w:sz w:val="24"/>
                <w:szCs w:val="24"/>
                <w:color w:val="auto"/>
              </w:rPr>
            </w:pPr>
          </w:p>
        </w:tc>
        <w:tc>
          <w:tcPr>
            <w:tcW w:w="5840" w:type="dxa"/>
            <w:vAlign w:val="bottom"/>
          </w:tcPr>
          <w:p>
            <w:pPr>
              <w:ind w:left="3540"/>
              <w:spacing w:after="0"/>
              <w:rPr>
                <w:sz w:val="20"/>
                <w:szCs w:val="20"/>
                <w:color w:val="auto"/>
              </w:rPr>
            </w:pPr>
            <w:r>
              <w:rPr>
                <w:rFonts w:ascii="Arial" w:cs="Arial" w:eastAsia="Arial" w:hAnsi="Arial"/>
                <w:sz w:val="18"/>
                <w:szCs w:val="18"/>
                <w:b w:val="1"/>
                <w:bCs w:val="1"/>
                <w:color w:val="auto"/>
              </w:rPr>
              <w:t>USE OF PROCEEDS</w:t>
            </w:r>
          </w:p>
        </w:tc>
        <w:tc>
          <w:tcPr>
            <w:tcW w:w="27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0"/>
        </w:trPr>
        <w:tc>
          <w:tcPr>
            <w:tcW w:w="7180" w:type="dxa"/>
            <w:vAlign w:val="bottom"/>
            <w:gridSpan w:val="2"/>
          </w:tcPr>
          <w:p>
            <w:pPr>
              <w:ind w:left="680"/>
              <w:spacing w:after="0"/>
              <w:rPr>
                <w:sz w:val="20"/>
                <w:szCs w:val="20"/>
                <w:color w:val="auto"/>
              </w:rPr>
            </w:pPr>
            <w:r>
              <w:rPr>
                <w:rFonts w:ascii="Arial" w:cs="Arial" w:eastAsia="Arial" w:hAnsi="Arial"/>
                <w:sz w:val="18"/>
                <w:szCs w:val="18"/>
                <w:color w:val="auto"/>
                <w:w w:val="95"/>
              </w:rPr>
              <w:t>We estimate that we will receive net proceeds from this offering of approximately US$</w:t>
            </w:r>
          </w:p>
        </w:tc>
        <w:tc>
          <w:tcPr>
            <w:tcW w:w="2780" w:type="dxa"/>
            <w:vAlign w:val="bottom"/>
          </w:tcPr>
          <w:p>
            <w:pPr>
              <w:ind w:left="300"/>
              <w:spacing w:after="0"/>
              <w:rPr>
                <w:sz w:val="20"/>
                <w:szCs w:val="20"/>
                <w:color w:val="auto"/>
              </w:rPr>
            </w:pPr>
            <w:r>
              <w:rPr>
                <w:rFonts w:ascii="Arial" w:cs="Arial" w:eastAsia="Arial" w:hAnsi="Arial"/>
                <w:sz w:val="18"/>
                <w:szCs w:val="18"/>
                <w:color w:val="auto"/>
              </w:rPr>
              <w:t>million, or approximately US$</w:t>
            </w:r>
          </w:p>
        </w:tc>
        <w:tc>
          <w:tcPr>
            <w:tcW w:w="1220" w:type="dxa"/>
            <w:vAlign w:val="bottom"/>
          </w:tcPr>
          <w:p>
            <w:pPr>
              <w:ind w:left="300"/>
              <w:spacing w:after="0"/>
              <w:rPr>
                <w:sz w:val="20"/>
                <w:szCs w:val="20"/>
                <w:color w:val="auto"/>
              </w:rPr>
            </w:pPr>
            <w:r>
              <w:rPr>
                <w:rFonts w:ascii="Arial" w:cs="Arial" w:eastAsia="Arial" w:hAnsi="Arial"/>
                <w:sz w:val="18"/>
                <w:szCs w:val="18"/>
                <w:color w:val="auto"/>
                <w:w w:val="94"/>
              </w:rPr>
              <w:t>million if the</w:t>
            </w:r>
          </w:p>
        </w:tc>
      </w:tr>
    </w:tbl>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underwriters exercise their over-allotment option in full, after deducting underwriting discounts and commissions and the estimated offering expenses</w:t>
      </w:r>
    </w:p>
    <w:p>
      <w:pPr>
        <w:spacing w:after="0" w:line="31" w:lineRule="exact"/>
        <w:rPr>
          <w:sz w:val="20"/>
          <w:szCs w:val="20"/>
          <w:color w:val="auto"/>
        </w:rPr>
      </w:pPr>
    </w:p>
    <w:p>
      <w:pPr>
        <w:ind w:left="240" w:right="160"/>
        <w:spacing w:after="0" w:line="280" w:lineRule="auto"/>
        <w:rPr>
          <w:sz w:val="20"/>
          <w:szCs w:val="20"/>
          <w:color w:val="auto"/>
        </w:rPr>
      </w:pPr>
      <w:r>
        <w:rPr>
          <w:rFonts w:ascii="Arial" w:cs="Arial" w:eastAsia="Arial" w:hAnsi="Arial"/>
          <w:sz w:val="16"/>
          <w:szCs w:val="16"/>
          <w:color w:val="auto"/>
        </w:rPr>
        <w:t>payable by us. These estimates are based upon an assumed initial public offering price of US$ per ADS, which is the midpoint of the estimated initial public offering price range set forth on the front cover page of this prospectus. A US$1.00 increase (decrease) in the assumed initial public</w:t>
      </w:r>
    </w:p>
    <w:p>
      <w:pPr>
        <w:ind w:left="240" w:right="200"/>
        <w:spacing w:after="0" w:line="253" w:lineRule="auto"/>
        <w:rPr>
          <w:sz w:val="20"/>
          <w:szCs w:val="20"/>
          <w:color w:val="auto"/>
        </w:rPr>
      </w:pPr>
      <w:r>
        <w:rPr>
          <w:rFonts w:ascii="Arial" w:cs="Arial" w:eastAsia="Arial" w:hAnsi="Arial"/>
          <w:sz w:val="18"/>
          <w:szCs w:val="18"/>
          <w:color w:val="auto"/>
        </w:rPr>
        <w:t>offering price of US$ per ADS would increase (decrease) the net proceeds to us from this offering by US$ , assuming the number of ADSs offered by us, as set forth on the front cover page of this prospectus, remains the same and after deducting the estimated underwriting discounts and commissions and estimated expenses payable by us.</w:t>
      </w:r>
    </w:p>
    <w:p>
      <w:pPr>
        <w:spacing w:after="0" w:line="190" w:lineRule="exact"/>
        <w:rPr>
          <w:sz w:val="20"/>
          <w:szCs w:val="20"/>
          <w:color w:val="auto"/>
        </w:rPr>
      </w:pPr>
    </w:p>
    <w:p>
      <w:pPr>
        <w:jc w:val="both"/>
        <w:ind w:left="240" w:right="200" w:firstLine="438"/>
        <w:spacing w:after="0" w:line="262" w:lineRule="auto"/>
        <w:rPr>
          <w:sz w:val="20"/>
          <w:szCs w:val="20"/>
          <w:color w:val="auto"/>
        </w:rPr>
      </w:pPr>
      <w:r>
        <w:rPr>
          <w:rFonts w:ascii="Arial" w:cs="Arial" w:eastAsia="Arial" w:hAnsi="Arial"/>
          <w:sz w:val="18"/>
          <w:szCs w:val="18"/>
          <w:color w:val="auto"/>
        </w:rPr>
        <w:t>The primary purposes of this offering are to create a public market for our shares in the form of ADSs for the benefit of all shareholders, retain talented employees by providing them with equity incentives and obtain additional capital. We plan to use the net proceeds of this offering for general corporate purposes, including research and development and working capital needs.</w:t>
      </w:r>
    </w:p>
    <w:p>
      <w:pPr>
        <w:spacing w:after="0" w:line="181" w:lineRule="exact"/>
        <w:rPr>
          <w:sz w:val="20"/>
          <w:szCs w:val="20"/>
          <w:color w:val="auto"/>
        </w:rPr>
      </w:pPr>
    </w:p>
    <w:p>
      <w:pPr>
        <w:ind w:left="240" w:right="60" w:firstLine="438"/>
        <w:spacing w:after="0" w:line="292" w:lineRule="auto"/>
        <w:rPr>
          <w:sz w:val="20"/>
          <w:szCs w:val="20"/>
          <w:color w:val="auto"/>
        </w:rPr>
      </w:pPr>
      <w:r>
        <w:rPr>
          <w:rFonts w:ascii="Arial" w:cs="Arial" w:eastAsia="Arial" w:hAnsi="Arial"/>
          <w:sz w:val="16"/>
          <w:szCs w:val="16"/>
          <w:color w:val="auto"/>
        </w:rPr>
        <w:t>The amounts and timing of any expenditures will vary depending on the amount of cash generated by our operations, and the rate of growth, if any, of our business, and our plans and business conditions. 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Factors—Risks Related to Our ADSs and This Offering—We have not determined a specific use for a portion of the net proceeds from this offering, and we may use these proceeds in ways with which you may not agree.”</w:t>
      </w:r>
    </w:p>
    <w:p>
      <w:pPr>
        <w:spacing w:after="0" w:line="161" w:lineRule="exact"/>
        <w:rPr>
          <w:sz w:val="20"/>
          <w:szCs w:val="20"/>
          <w:color w:val="auto"/>
        </w:rPr>
      </w:pPr>
    </w:p>
    <w:p>
      <w:pPr>
        <w:ind w:left="240" w:right="840" w:firstLine="438"/>
        <w:spacing w:after="0" w:line="275" w:lineRule="auto"/>
        <w:rPr>
          <w:sz w:val="20"/>
          <w:szCs w:val="20"/>
          <w:color w:val="auto"/>
        </w:rPr>
      </w:pPr>
      <w:r>
        <w:rPr>
          <w:rFonts w:ascii="Arial" w:cs="Arial" w:eastAsia="Arial" w:hAnsi="Arial"/>
          <w:sz w:val="18"/>
          <w:szCs w:val="18"/>
          <w:color w:val="auto"/>
        </w:rPr>
        <w:t>Pending any use of proceeds described above, we plan to invest the net proceeds from this offering in short-term, interest-bearing, debt instruments or demand deposits.</w:t>
      </w:r>
    </w:p>
    <w:p>
      <w:pPr>
        <w:spacing w:after="0" w:line="170" w:lineRule="exact"/>
        <w:rPr>
          <w:sz w:val="20"/>
          <w:szCs w:val="20"/>
          <w:color w:val="auto"/>
        </w:rPr>
      </w:pPr>
    </w:p>
    <w:p>
      <w:pPr>
        <w:ind w:left="240" w:right="60" w:firstLine="438"/>
        <w:spacing w:after="0" w:line="272" w:lineRule="auto"/>
        <w:rPr>
          <w:sz w:val="20"/>
          <w:szCs w:val="20"/>
          <w:color w:val="auto"/>
        </w:rPr>
      </w:pPr>
      <w:r>
        <w:rPr>
          <w:rFonts w:ascii="Arial" w:cs="Arial" w:eastAsia="Arial" w:hAnsi="Arial"/>
          <w:sz w:val="17"/>
          <w:szCs w:val="17"/>
          <w:color w:val="auto"/>
        </w:rPr>
        <w:t>In using the net proceeds of this offering, we are permitted under PRC laws and regulations as an offshore holding company to provide funding to our PRC subsidiaries only through loans or capital contributions and to our VIE only through loans, subject to satisfaction of applicable government registration and approval requirements. We cannot assure you that we will be able to obtain these government registrations or approvals on a timely basis, if at all. See “Risk Factors—Risks Related to Doing Business in China—PRC regulation of loans to and direct investment in PRC entities by offshore holding companies and governmental control of currency conversion may delay or prevent us from using the proceeds of this offering to make loans or additional capital contributions to our PRC subsidiaries and our VIE and its subsidiaries.”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will not receive any of the proceeds from the sale of ADSs by the selling shareholders.]</w:t>
      </w:r>
    </w:p>
    <w:p>
      <w:pPr>
        <w:spacing w:after="0" w:line="1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240" w:top="443"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7" w:lineRule="exact"/>
        <w:rPr>
          <w:sz w:val="20"/>
          <w:szCs w:val="20"/>
          <w:color w:val="auto"/>
        </w:rPr>
      </w:pPr>
    </w:p>
    <w:p>
      <w:pPr>
        <w:ind w:left="240" w:right="60" w:firstLine="438"/>
        <w:spacing w:after="0" w:line="272" w:lineRule="auto"/>
        <w:rPr>
          <w:sz w:val="20"/>
          <w:szCs w:val="20"/>
          <w:color w:val="auto"/>
        </w:rPr>
      </w:pPr>
      <w:r>
        <w:rPr>
          <w:rFonts w:ascii="Arial" w:cs="Arial" w:eastAsia="Arial" w:hAnsi="Arial"/>
          <w:sz w:val="17"/>
          <w:szCs w:val="17"/>
          <w:color w:val="auto"/>
        </w:rPr>
        <w:t>Our board of directors has discretion on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our board of directors may deem relevant.</w:t>
      </w:r>
    </w:p>
    <w:p>
      <w:pPr>
        <w:spacing w:after="0" w:line="175" w:lineRule="exact"/>
        <w:rPr>
          <w:sz w:val="20"/>
          <w:szCs w:val="20"/>
          <w:color w:val="auto"/>
        </w:rPr>
      </w:pPr>
    </w:p>
    <w:p>
      <w:pPr>
        <w:ind w:left="240" w:right="60" w:firstLine="438"/>
        <w:spacing w:after="0" w:line="275"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70" w:lineRule="exact"/>
        <w:rPr>
          <w:sz w:val="20"/>
          <w:szCs w:val="20"/>
          <w:color w:val="auto"/>
        </w:rPr>
      </w:pPr>
    </w:p>
    <w:p>
      <w:pPr>
        <w:ind w:left="240" w:right="20" w:firstLine="438"/>
        <w:spacing w:after="0" w:line="257" w:lineRule="auto"/>
        <w:rPr>
          <w:sz w:val="20"/>
          <w:szCs w:val="20"/>
          <w:color w:val="auto"/>
        </w:rPr>
      </w:pPr>
      <w:r>
        <w:rPr>
          <w:rFonts w:ascii="Arial" w:cs="Arial" w:eastAsia="Arial" w:hAnsi="Arial"/>
          <w:sz w:val="18"/>
          <w:szCs w:val="18"/>
          <w:color w:val="auto"/>
        </w:rPr>
        <w:t>We are a holding company incorporated in the Cayman Islands. We may rely on dividends from our subsidiaries in Hong Kong and China for our cash requirements, including any payment of dividends to our shareholders. PRC regulations may restrict the ability of our PRC subsidiaries to pay dividends to us. See “Regulation—Overview of the Laws and Regulations Relating to Our Business and Operations in China—Regulations on Dividend Distribution.”</w:t>
      </w:r>
    </w:p>
    <w:p>
      <w:pPr>
        <w:spacing w:after="0" w:line="188" w:lineRule="exact"/>
        <w:rPr>
          <w:sz w:val="20"/>
          <w:szCs w:val="20"/>
          <w:color w:val="auto"/>
        </w:rPr>
      </w:pPr>
    </w:p>
    <w:p>
      <w:pPr>
        <w:ind w:left="240" w:firstLine="438"/>
        <w:spacing w:after="0" w:line="300" w:lineRule="auto"/>
        <w:rPr>
          <w:sz w:val="20"/>
          <w:szCs w:val="20"/>
          <w:color w:val="auto"/>
        </w:rPr>
      </w:pPr>
      <w:r>
        <w:rPr>
          <w:rFonts w:ascii="Arial" w:cs="Arial" w:eastAsia="Arial" w:hAnsi="Arial"/>
          <w:sz w:val="16"/>
          <w:szCs w:val="16"/>
          <w:color w:val="auto"/>
        </w:rPr>
        <w:t>If we pay any dividends on our ordinary shares, we will pay those dividends which are payable in respect of the ordinary shares underlying our ADSs to the depositary, as the registered holder of such ordinary shares, and the depositary then will pay such amounts to our ADS holders in proportion to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7"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our capitalization as of December 31, 2017:</w:t>
      </w:r>
    </w:p>
    <w:p>
      <w:pPr>
        <w:spacing w:after="0" w:line="129" w:lineRule="exact"/>
        <w:rPr>
          <w:sz w:val="20"/>
          <w:szCs w:val="20"/>
          <w:color w:val="auto"/>
        </w:rPr>
      </w:pPr>
    </w:p>
    <w:p>
      <w:pPr>
        <w:ind w:left="1100" w:hanging="327"/>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28" w:lineRule="exact"/>
        <w:rPr>
          <w:rFonts w:ascii="Arial" w:cs="Arial" w:eastAsia="Arial" w:hAnsi="Arial"/>
          <w:sz w:val="18"/>
          <w:szCs w:val="18"/>
          <w:color w:val="auto"/>
        </w:rPr>
      </w:pPr>
    </w:p>
    <w:p>
      <w:pPr>
        <w:ind w:left="1100" w:right="480" w:hanging="327"/>
        <w:spacing w:after="0" w:line="275"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of our issued and outstanding preferred shares into ordinary shares on a one-for-one basis immediately upon the completion of this offering; and</w:t>
      </w:r>
    </w:p>
    <w:p>
      <w:pPr>
        <w:spacing w:after="0" w:line="76" w:lineRule="exact"/>
        <w:rPr>
          <w:rFonts w:ascii="Arial" w:cs="Arial" w:eastAsia="Arial" w:hAnsi="Arial"/>
          <w:sz w:val="18"/>
          <w:szCs w:val="18"/>
          <w:color w:val="auto"/>
        </w:rPr>
      </w:pPr>
    </w:p>
    <w:p>
      <w:pPr>
        <w:ind w:left="1100" w:hanging="327"/>
        <w:spacing w:after="0"/>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all of our issued and outstanding preferred shares into ordinary</w:t>
      </w:r>
    </w:p>
    <w:p>
      <w:pPr>
        <w:sectPr>
          <w:pgSz w:w="11900" w:h="16838" w:orient="portrait"/>
          <w:cols w:equalWidth="0" w:num="1">
            <w:col w:w="11140"/>
          </w:cols>
          <w:pgMar w:left="240" w:top="457" w:right="519" w:bottom="1440" w:gutter="0" w:footer="0" w:header="0"/>
        </w:sectPr>
      </w:pPr>
    </w:p>
    <w:p>
      <w:pPr>
        <w:spacing w:after="0" w:line="45" w:lineRule="exact"/>
        <w:rPr>
          <w:sz w:val="20"/>
          <w:szCs w:val="20"/>
          <w:color w:val="auto"/>
        </w:rPr>
      </w:pPr>
    </w:p>
    <w:p>
      <w:pPr>
        <w:jc w:val="both"/>
        <w:ind w:left="1100"/>
        <w:spacing w:after="0" w:line="263" w:lineRule="auto"/>
        <w:rPr>
          <w:sz w:val="20"/>
          <w:szCs w:val="20"/>
          <w:color w:val="auto"/>
        </w:rPr>
      </w:pPr>
      <w:r>
        <w:rPr>
          <w:rFonts w:ascii="Arial" w:cs="Arial" w:eastAsia="Arial" w:hAnsi="Arial"/>
          <w:sz w:val="17"/>
          <w:szCs w:val="17"/>
          <w:color w:val="auto"/>
        </w:rPr>
        <w:t>shares on a one-for-one basis immediately upon the completion of this offering and (ii) the sale of ordinary shares in the form of ADSs by us in this offering at an assumed initial public offering price of US$ per ADS, which is the midpoint of the estimated initial</w:t>
      </w:r>
    </w:p>
    <w:p>
      <w:pPr>
        <w:sectPr>
          <w:pgSz w:w="11900" w:h="16838" w:orient="portrait"/>
          <w:cols w:equalWidth="0" w:num="1">
            <w:col w:w="11140"/>
          </w:cols>
          <w:pgMar w:left="240" w:top="457" w:right="519" w:bottom="1440" w:gutter="0" w:footer="0" w:header="0"/>
          <w:type w:val="continuous"/>
        </w:sectPr>
      </w:pPr>
    </w:p>
    <w:p>
      <w:pPr>
        <w:spacing w:after="0" w:line="1" w:lineRule="exact"/>
        <w:rPr>
          <w:sz w:val="20"/>
          <w:szCs w:val="20"/>
          <w:color w:val="auto"/>
        </w:rPr>
      </w:pPr>
    </w:p>
    <w:p>
      <w:pPr>
        <w:ind w:left="1100" w:right="80"/>
        <w:spacing w:after="0" w:line="287" w:lineRule="auto"/>
        <w:rPr>
          <w:sz w:val="20"/>
          <w:szCs w:val="20"/>
          <w:color w:val="auto"/>
        </w:rPr>
      </w:pPr>
      <w:r>
        <w:rPr>
          <w:rFonts w:ascii="Arial" w:cs="Arial" w:eastAsia="Arial" w:hAnsi="Arial"/>
          <w:sz w:val="17"/>
          <w:szCs w:val="17"/>
          <w:color w:val="auto"/>
        </w:rPr>
        <w:t>public offering price range set forth on the front cover page of this prospectus, after deducting the underwriting discounts and commissions and estimated offering expenses payable by us, assuming the underwriters do not exercise the over-allotment option.</w:t>
      </w:r>
    </w:p>
    <w:p>
      <w:pPr>
        <w:spacing w:after="0" w:line="162" w:lineRule="exact"/>
        <w:rPr>
          <w:sz w:val="20"/>
          <w:szCs w:val="20"/>
          <w:color w:val="auto"/>
        </w:rPr>
      </w:pPr>
    </w:p>
    <w:p>
      <w:pPr>
        <w:ind w:left="240" w:right="380" w:firstLine="438"/>
        <w:spacing w:after="0" w:line="275" w:lineRule="auto"/>
        <w:rPr>
          <w:sz w:val="20"/>
          <w:szCs w:val="20"/>
          <w:color w:val="auto"/>
        </w:rPr>
      </w:pPr>
      <w:r>
        <w:rPr>
          <w:rFonts w:ascii="Arial" w:cs="Arial" w:eastAsia="Arial" w:hAnsi="Arial"/>
          <w:sz w:val="18"/>
          <w:szCs w:val="18"/>
          <w:color w:val="auto"/>
        </w:rPr>
        <w:t>Unaudited pro forma basic and diluted net loss per ordinary share reflects the effect of the conversion of preferred shares as follows, as if the conversion occurred as of the beginning of the period or the original date of issuance, if later.</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240" w:top="457" w:right="51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60" w:firstLine="438"/>
        <w:spacing w:after="0" w:line="275"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61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left="388"/>
              <w:spacing w:after="0"/>
              <w:rPr>
                <w:sz w:val="20"/>
                <w:szCs w:val="20"/>
                <w:color w:val="auto"/>
              </w:rPr>
            </w:pPr>
            <w:r>
              <w:rPr>
                <w:rFonts w:ascii="Arial" w:cs="Arial" w:eastAsia="Arial" w:hAnsi="Arial"/>
                <w:sz w:val="14"/>
                <w:szCs w:val="14"/>
                <w:b w:val="1"/>
                <w:bCs w:val="1"/>
                <w:color w:val="auto"/>
                <w:w w:val="90"/>
              </w:rPr>
              <w:t>As of December 31, 2017</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w w:val="91"/>
              </w:rPr>
              <w:t>Pro Forma</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0"/>
        </w:trPr>
        <w:tc>
          <w:tcPr>
            <w:tcW w:w="618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180" w:type="dxa"/>
            <w:vAlign w:val="bottom"/>
          </w:tcPr>
          <w:p>
            <w:pPr>
              <w:spacing w:after="0"/>
              <w:rPr>
                <w:sz w:val="10"/>
                <w:szCs w:val="10"/>
                <w:color w:val="auto"/>
              </w:rPr>
            </w:pPr>
          </w:p>
        </w:tc>
        <w:tc>
          <w:tcPr>
            <w:tcW w:w="3960" w:type="dxa"/>
            <w:vAlign w:val="bottom"/>
            <w:gridSpan w:val="7"/>
          </w:tcPr>
          <w:p>
            <w:pPr>
              <w:jc w:val="center"/>
              <w:ind w:left="709"/>
              <w:spacing w:after="0" w:line="119" w:lineRule="exact"/>
              <w:rPr>
                <w:sz w:val="20"/>
                <w:szCs w:val="20"/>
                <w:color w:val="auto"/>
              </w:rPr>
            </w:pPr>
            <w:r>
              <w:rPr>
                <w:rFonts w:ascii="Arial" w:cs="Arial" w:eastAsia="Arial" w:hAnsi="Arial"/>
                <w:sz w:val="13"/>
                <w:szCs w:val="13"/>
                <w:b w:val="1"/>
                <w:bCs w:val="1"/>
                <w:color w:val="auto"/>
                <w:w w:val="97"/>
              </w:rPr>
              <w:t>(in thousands, except for share and per share data)</w:t>
            </w: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u w:val="single" w:color="auto"/>
                <w:color w:val="auto"/>
              </w:rPr>
              <w:t>HK</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0"/>
        </w:trPr>
        <w:tc>
          <w:tcPr>
            <w:tcW w:w="6180" w:type="dxa"/>
            <w:vAlign w:val="bottom"/>
          </w:tcPr>
          <w:p>
            <w:pPr>
              <w:spacing w:after="0"/>
              <w:rPr>
                <w:sz w:val="14"/>
                <w:szCs w:val="14"/>
                <w:color w:val="auto"/>
              </w:rPr>
            </w:pPr>
          </w:p>
        </w:tc>
        <w:tc>
          <w:tcPr>
            <w:tcW w:w="1080" w:type="dxa"/>
            <w:vAlign w:val="bottom"/>
          </w:tcPr>
          <w:p>
            <w:pPr>
              <w:jc w:val="right"/>
              <w:ind w:right="469"/>
              <w:spacing w:after="0"/>
              <w:rPr>
                <w:sz w:val="20"/>
                <w:szCs w:val="20"/>
                <w:color w:val="auto"/>
              </w:rPr>
            </w:pPr>
            <w:r>
              <w:rPr>
                <w:rFonts w:ascii="Arial" w:cs="Arial" w:eastAsia="Arial" w:hAnsi="Arial"/>
                <w:sz w:val="14"/>
                <w:szCs w:val="14"/>
                <w:b w:val="1"/>
                <w:bCs w:val="1"/>
                <w:color w:val="auto"/>
              </w:rPr>
              <w:t>HK$</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US$</w:t>
            </w: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HK$</w:t>
            </w:r>
          </w:p>
        </w:tc>
        <w:tc>
          <w:tcPr>
            <w:tcW w:w="24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US$</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1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Mezzanine equity</w:t>
            </w:r>
          </w:p>
        </w:tc>
        <w:tc>
          <w:tcPr>
            <w:tcW w:w="10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80" w:type="dxa"/>
            <w:vAlign w:val="bottom"/>
          </w:tcPr>
          <w:p>
            <w:pPr>
              <w:spacing w:after="0" w:line="184" w:lineRule="exact"/>
              <w:rPr>
                <w:sz w:val="20"/>
                <w:szCs w:val="20"/>
                <w:color w:val="auto"/>
              </w:rPr>
            </w:pPr>
            <w:r>
              <w:rPr>
                <w:rFonts w:ascii="Arial" w:cs="Arial" w:eastAsia="Arial" w:hAnsi="Arial"/>
                <w:sz w:val="17"/>
                <w:szCs w:val="17"/>
                <w:color w:val="auto"/>
                <w:w w:val="91"/>
              </w:rPr>
              <w:t>Series A preferred shares (US$0.00001 par value; 125,000,000 shares authorized, issued</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180" w:type="dxa"/>
            <w:vAlign w:val="bottom"/>
          </w:tcPr>
          <w:p>
            <w:pPr>
              <w:ind w:left="160"/>
              <w:spacing w:after="0"/>
              <w:rPr>
                <w:sz w:val="20"/>
                <w:szCs w:val="20"/>
                <w:color w:val="auto"/>
              </w:rPr>
            </w:pPr>
            <w:r>
              <w:rPr>
                <w:rFonts w:ascii="Arial" w:cs="Arial" w:eastAsia="Arial" w:hAnsi="Arial"/>
                <w:sz w:val="17"/>
                <w:szCs w:val="17"/>
                <w:color w:val="auto"/>
                <w:w w:val="97"/>
              </w:rPr>
              <w:t>and outstanding on an actual basis, and none outstanding on a pro forma or a pro</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80" w:type="dxa"/>
            <w:vAlign w:val="bottom"/>
          </w:tcPr>
          <w:p>
            <w:pPr>
              <w:ind w:left="160"/>
              <w:spacing w:after="0"/>
              <w:rPr>
                <w:sz w:val="20"/>
                <w:szCs w:val="20"/>
                <w:color w:val="auto"/>
              </w:rPr>
            </w:pPr>
            <w:r>
              <w:rPr>
                <w:rFonts w:ascii="Arial" w:cs="Arial" w:eastAsia="Arial" w:hAnsi="Arial"/>
                <w:sz w:val="17"/>
                <w:szCs w:val="17"/>
                <w:color w:val="auto"/>
              </w:rPr>
              <w:t>forma as adjusted basis)</w:t>
            </w:r>
          </w:p>
        </w:tc>
        <w:tc>
          <w:tcPr>
            <w:tcW w:w="1080" w:type="dxa"/>
            <w:vAlign w:val="bottom"/>
          </w:tcPr>
          <w:p>
            <w:pPr>
              <w:jc w:val="right"/>
              <w:ind w:right="189"/>
              <w:spacing w:after="0"/>
              <w:rPr>
                <w:sz w:val="20"/>
                <w:szCs w:val="20"/>
                <w:color w:val="auto"/>
              </w:rPr>
            </w:pPr>
            <w:r>
              <w:rPr>
                <w:rFonts w:ascii="Arial" w:cs="Arial" w:eastAsia="Arial" w:hAnsi="Arial"/>
                <w:sz w:val="17"/>
                <w:szCs w:val="17"/>
                <w:color w:val="auto"/>
              </w:rPr>
              <w:t>64,780</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8,292</w:t>
            </w:r>
          </w:p>
        </w:tc>
        <w:tc>
          <w:tcPr>
            <w:tcW w:w="980" w:type="dxa"/>
            <w:vAlign w:val="bottom"/>
          </w:tcPr>
          <w:p>
            <w:pPr>
              <w:jc w:val="right"/>
              <w:ind w:right="16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1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w w:val="90"/>
              </w:rPr>
              <w:t>Series A-1 preferred shares (US$0.00001 par value; 23,437,500 shares authorized, issued</w:t>
            </w: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7"/>
              </w:rPr>
              <w:t>and outstanding on an actual basis, and none outstanding on a pro forma or a pro</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forma as adjusted basis)</w:t>
            </w:r>
          </w:p>
        </w:tc>
        <w:tc>
          <w:tcPr>
            <w:tcW w:w="1080" w:type="dxa"/>
            <w:vAlign w:val="bottom"/>
            <w:shd w:val="clear" w:color="auto" w:fill="CCEEFF"/>
          </w:tcPr>
          <w:p>
            <w:pPr>
              <w:jc w:val="right"/>
              <w:ind w:right="189"/>
              <w:spacing w:after="0"/>
              <w:rPr>
                <w:sz w:val="20"/>
                <w:szCs w:val="20"/>
                <w:color w:val="auto"/>
              </w:rPr>
            </w:pPr>
            <w:r>
              <w:rPr>
                <w:rFonts w:ascii="Arial" w:cs="Arial" w:eastAsia="Arial" w:hAnsi="Arial"/>
                <w:sz w:val="17"/>
                <w:szCs w:val="17"/>
                <w:color w:val="auto"/>
              </w:rPr>
              <w:t>13,881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1,777</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180" w:type="dxa"/>
            <w:vAlign w:val="bottom"/>
          </w:tcPr>
          <w:p>
            <w:pPr>
              <w:spacing w:after="0" w:line="184" w:lineRule="exact"/>
              <w:rPr>
                <w:sz w:val="20"/>
                <w:szCs w:val="20"/>
                <w:color w:val="auto"/>
              </w:rPr>
            </w:pPr>
            <w:r>
              <w:rPr>
                <w:rFonts w:ascii="Arial" w:cs="Arial" w:eastAsia="Arial" w:hAnsi="Arial"/>
                <w:sz w:val="17"/>
                <w:szCs w:val="17"/>
                <w:color w:val="auto"/>
                <w:w w:val="92"/>
              </w:rPr>
              <w:t>Series B preferred shares (US$0.00001 par value; 88,423,500 shares authorized, issued</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180" w:type="dxa"/>
            <w:vAlign w:val="bottom"/>
          </w:tcPr>
          <w:p>
            <w:pPr>
              <w:ind w:left="160"/>
              <w:spacing w:after="0"/>
              <w:rPr>
                <w:sz w:val="20"/>
                <w:szCs w:val="20"/>
                <w:color w:val="auto"/>
              </w:rPr>
            </w:pPr>
            <w:r>
              <w:rPr>
                <w:rFonts w:ascii="Arial" w:cs="Arial" w:eastAsia="Arial" w:hAnsi="Arial"/>
                <w:sz w:val="17"/>
                <w:szCs w:val="17"/>
                <w:color w:val="auto"/>
                <w:w w:val="97"/>
              </w:rPr>
              <w:t>and outstanding on an actual basis, and none outstanding on a pro forma or a pro</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80" w:type="dxa"/>
            <w:vAlign w:val="bottom"/>
          </w:tcPr>
          <w:p>
            <w:pPr>
              <w:ind w:left="160"/>
              <w:spacing w:after="0"/>
              <w:rPr>
                <w:sz w:val="20"/>
                <w:szCs w:val="20"/>
                <w:color w:val="auto"/>
              </w:rPr>
            </w:pPr>
            <w:r>
              <w:rPr>
                <w:rFonts w:ascii="Arial" w:cs="Arial" w:eastAsia="Arial" w:hAnsi="Arial"/>
                <w:sz w:val="17"/>
                <w:szCs w:val="17"/>
                <w:color w:val="auto"/>
              </w:rPr>
              <w:t>forma as adjusted basis)</w:t>
            </w:r>
          </w:p>
        </w:tc>
        <w:tc>
          <w:tcPr>
            <w:tcW w:w="1080" w:type="dxa"/>
            <w:vAlign w:val="bottom"/>
          </w:tcPr>
          <w:p>
            <w:pPr>
              <w:jc w:val="right"/>
              <w:ind w:right="189"/>
              <w:spacing w:after="0"/>
              <w:rPr>
                <w:sz w:val="20"/>
                <w:szCs w:val="20"/>
                <w:color w:val="auto"/>
              </w:rPr>
            </w:pPr>
            <w:r>
              <w:rPr>
                <w:rFonts w:ascii="Arial" w:cs="Arial" w:eastAsia="Arial" w:hAnsi="Arial"/>
                <w:sz w:val="17"/>
                <w:szCs w:val="17"/>
                <w:color w:val="auto"/>
              </w:rPr>
              <w:t>268,520</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34,369</w:t>
            </w:r>
          </w:p>
        </w:tc>
        <w:tc>
          <w:tcPr>
            <w:tcW w:w="980" w:type="dxa"/>
            <w:vAlign w:val="bottom"/>
          </w:tcPr>
          <w:p>
            <w:pPr>
              <w:jc w:val="right"/>
              <w:ind w:right="16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1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w w:val="91"/>
              </w:rPr>
              <w:t>Series C preferred shares (US$0.00001 par value; 128,844,812 shares authorized, issued</w:t>
            </w: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7"/>
              </w:rPr>
              <w:t>and outstanding on an actual basis, and none outstanding on a pro forma or a pro</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forma as adjusted basis)</w:t>
            </w:r>
          </w:p>
        </w:tc>
        <w:tc>
          <w:tcPr>
            <w:tcW w:w="1080" w:type="dxa"/>
            <w:vAlign w:val="bottom"/>
            <w:shd w:val="clear" w:color="auto" w:fill="CCEEFF"/>
          </w:tcPr>
          <w:p>
            <w:pPr>
              <w:jc w:val="right"/>
              <w:ind w:right="189"/>
              <w:spacing w:after="0"/>
              <w:rPr>
                <w:sz w:val="20"/>
                <w:szCs w:val="20"/>
                <w:color w:val="auto"/>
              </w:rPr>
            </w:pPr>
            <w:r>
              <w:rPr>
                <w:rFonts w:ascii="Arial" w:cs="Arial" w:eastAsia="Arial" w:hAnsi="Arial"/>
                <w:sz w:val="17"/>
                <w:szCs w:val="17"/>
                <w:color w:val="auto"/>
              </w:rPr>
              <w:t>734,872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94,060</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180" w:type="dxa"/>
            <w:vAlign w:val="bottom"/>
          </w:tcPr>
          <w:p>
            <w:pPr>
              <w:spacing w:after="0" w:line="184" w:lineRule="exact"/>
              <w:rPr>
                <w:sz w:val="20"/>
                <w:szCs w:val="20"/>
                <w:color w:val="auto"/>
              </w:rPr>
            </w:pPr>
            <w:r>
              <w:rPr>
                <w:rFonts w:ascii="Arial" w:cs="Arial" w:eastAsia="Arial" w:hAnsi="Arial"/>
                <w:sz w:val="17"/>
                <w:szCs w:val="17"/>
                <w:color w:val="auto"/>
                <w:w w:val="90"/>
              </w:rPr>
              <w:t>Series C-1 preferred shares (US$0.00001 par value; 12,225,282 shares authorized, issued</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180" w:type="dxa"/>
            <w:vAlign w:val="bottom"/>
          </w:tcPr>
          <w:p>
            <w:pPr>
              <w:ind w:left="160"/>
              <w:spacing w:after="0"/>
              <w:rPr>
                <w:sz w:val="20"/>
                <w:szCs w:val="20"/>
                <w:color w:val="auto"/>
              </w:rPr>
            </w:pPr>
            <w:r>
              <w:rPr>
                <w:rFonts w:ascii="Arial" w:cs="Arial" w:eastAsia="Arial" w:hAnsi="Arial"/>
                <w:sz w:val="17"/>
                <w:szCs w:val="17"/>
                <w:color w:val="auto"/>
                <w:w w:val="97"/>
              </w:rPr>
              <w:t>and outstanding on an actual basis, and none outstanding on a pro forma or a pro</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80" w:type="dxa"/>
            <w:vAlign w:val="bottom"/>
          </w:tcPr>
          <w:p>
            <w:pPr>
              <w:ind w:left="160"/>
              <w:spacing w:after="0"/>
              <w:rPr>
                <w:sz w:val="20"/>
                <w:szCs w:val="20"/>
                <w:color w:val="auto"/>
              </w:rPr>
            </w:pPr>
            <w:r>
              <w:rPr>
                <w:rFonts w:ascii="Arial" w:cs="Arial" w:eastAsia="Arial" w:hAnsi="Arial"/>
                <w:sz w:val="17"/>
                <w:szCs w:val="17"/>
                <w:color w:val="auto"/>
              </w:rPr>
              <w:t>forma as adjusted basis)</w:t>
            </w:r>
          </w:p>
        </w:tc>
        <w:tc>
          <w:tcPr>
            <w:tcW w:w="1080" w:type="dxa"/>
            <w:vAlign w:val="bottom"/>
          </w:tcPr>
          <w:p>
            <w:pPr>
              <w:jc w:val="right"/>
              <w:ind w:right="189"/>
              <w:spacing w:after="0"/>
              <w:rPr>
                <w:sz w:val="20"/>
                <w:szCs w:val="20"/>
                <w:color w:val="auto"/>
              </w:rPr>
            </w:pPr>
            <w:r>
              <w:rPr>
                <w:rFonts w:ascii="Arial" w:cs="Arial" w:eastAsia="Arial" w:hAnsi="Arial"/>
                <w:sz w:val="17"/>
                <w:szCs w:val="17"/>
                <w:color w:val="auto"/>
              </w:rPr>
              <w:t>101,422</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12,982</w:t>
            </w:r>
          </w:p>
        </w:tc>
        <w:tc>
          <w:tcPr>
            <w:tcW w:w="980" w:type="dxa"/>
            <w:vAlign w:val="bottom"/>
          </w:tcPr>
          <w:p>
            <w:pPr>
              <w:jc w:val="right"/>
              <w:ind w:right="16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mezzanine equity</w:t>
            </w:r>
          </w:p>
        </w:tc>
        <w:tc>
          <w:tcPr>
            <w:tcW w:w="1080" w:type="dxa"/>
            <w:vAlign w:val="bottom"/>
            <w:shd w:val="clear" w:color="auto" w:fill="CCEEFF"/>
          </w:tcPr>
          <w:p>
            <w:pPr>
              <w:jc w:val="right"/>
              <w:ind w:right="189"/>
              <w:spacing w:after="0"/>
              <w:rPr>
                <w:sz w:val="20"/>
                <w:szCs w:val="20"/>
                <w:color w:val="auto"/>
              </w:rPr>
            </w:pPr>
            <w:r>
              <w:rPr>
                <w:rFonts w:ascii="Arial" w:cs="Arial" w:eastAsia="Arial" w:hAnsi="Arial"/>
                <w:sz w:val="17"/>
                <w:szCs w:val="17"/>
                <w:b w:val="1"/>
                <w:bCs w:val="1"/>
                <w:color w:val="auto"/>
              </w:rPr>
              <w:t>1,183,475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151,480</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80" w:type="dxa"/>
            <w:vAlign w:val="bottom"/>
          </w:tcPr>
          <w:p>
            <w:pPr>
              <w:spacing w:after="0"/>
              <w:rPr>
                <w:sz w:val="20"/>
                <w:szCs w:val="20"/>
                <w:color w:val="auto"/>
              </w:rPr>
            </w:pPr>
            <w:r>
              <w:rPr>
                <w:rFonts w:ascii="Arial" w:cs="Arial" w:eastAsia="Arial" w:hAnsi="Arial"/>
                <w:sz w:val="17"/>
                <w:szCs w:val="17"/>
                <w:b w:val="1"/>
                <w:bCs w:val="1"/>
                <w:color w:val="auto"/>
              </w:rPr>
              <w:t>Shareholders’ deficit:</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180" w:type="dxa"/>
            <w:vAlign w:val="bottom"/>
            <w:shd w:val="clear" w:color="auto" w:fill="CCEEFF"/>
          </w:tcPr>
          <w:p>
            <w:pPr>
              <w:spacing w:after="0" w:line="184" w:lineRule="exact"/>
              <w:rPr>
                <w:sz w:val="20"/>
                <w:szCs w:val="20"/>
                <w:color w:val="auto"/>
              </w:rPr>
            </w:pPr>
            <w:r>
              <w:rPr>
                <w:rFonts w:ascii="Arial" w:cs="Arial" w:eastAsia="Arial" w:hAnsi="Arial"/>
                <w:sz w:val="17"/>
                <w:szCs w:val="17"/>
                <w:color w:val="auto"/>
              </w:rPr>
              <w:t>Ordinary shares existing as of the date of this prospectus (US$0.00001 par value;</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4"/>
              </w:rPr>
              <w:t>4,622,068,906 shares authorized, 403,750,000 shares issued and outstanding on an</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5"/>
              </w:rPr>
              <w:t>actual basis, and 781,681,094 shares issued and outstanding on a pro forma basis)</w:t>
            </w:r>
          </w:p>
        </w:tc>
        <w:tc>
          <w:tcPr>
            <w:tcW w:w="1080" w:type="dxa"/>
            <w:vAlign w:val="bottom"/>
            <w:shd w:val="clear" w:color="auto" w:fill="CCEEFF"/>
          </w:tcPr>
          <w:p>
            <w:pPr>
              <w:jc w:val="right"/>
              <w:ind w:right="189"/>
              <w:spacing w:after="0"/>
              <w:rPr>
                <w:sz w:val="20"/>
                <w:szCs w:val="20"/>
                <w:color w:val="auto"/>
              </w:rPr>
            </w:pPr>
            <w:r>
              <w:rPr>
                <w:rFonts w:ascii="Arial" w:cs="Arial" w:eastAsia="Arial" w:hAnsi="Arial"/>
                <w:sz w:val="17"/>
                <w:szCs w:val="17"/>
                <w:color w:val="auto"/>
              </w:rPr>
              <w:t>31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7"/>
                <w:szCs w:val="17"/>
                <w:color w:val="auto"/>
              </w:rPr>
              <w:t>61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
        </w:trPr>
        <w:tc>
          <w:tcPr>
            <w:tcW w:w="618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Additional paid-in capital</w:t>
            </w:r>
          </w:p>
        </w:tc>
        <w:tc>
          <w:tcPr>
            <w:tcW w:w="1080" w:type="dxa"/>
            <w:vAlign w:val="bottom"/>
            <w:shd w:val="clear" w:color="auto" w:fill="CCEEFF"/>
          </w:tcPr>
          <w:p>
            <w:pPr>
              <w:jc w:val="right"/>
              <w:ind w:right="289"/>
              <w:spacing w:after="0" w:line="10" w:lineRule="exact"/>
              <w:rPr>
                <w:sz w:val="20"/>
                <w:szCs w:val="20"/>
                <w:color w:val="auto"/>
              </w:rPr>
            </w:pPr>
            <w:r>
              <w:rPr>
                <w:rFonts w:ascii="Arial" w:cs="Arial" w:eastAsia="Arial" w:hAnsi="Arial"/>
                <w:sz w:val="1"/>
                <w:szCs w:val="1"/>
                <w:color w:val="auto"/>
              </w:rPr>
              <w:t>—</w:t>
            </w:r>
          </w:p>
        </w:tc>
        <w:tc>
          <w:tcPr>
            <w:tcW w:w="900" w:type="dxa"/>
            <w:vAlign w:val="bottom"/>
            <w:gridSpan w:val="2"/>
            <w:shd w:val="clear" w:color="auto" w:fill="CCEEFF"/>
          </w:tcPr>
          <w:p>
            <w:pPr>
              <w:jc w:val="right"/>
              <w:ind w:right="300"/>
              <w:spacing w:after="0" w:line="10" w:lineRule="exact"/>
              <w:rPr>
                <w:sz w:val="20"/>
                <w:szCs w:val="20"/>
                <w:color w:val="auto"/>
              </w:rPr>
            </w:pPr>
            <w:r>
              <w:rPr>
                <w:rFonts w:ascii="Arial" w:cs="Arial" w:eastAsia="Arial" w:hAnsi="Arial"/>
                <w:sz w:val="1"/>
                <w:szCs w:val="1"/>
                <w:color w:val="auto"/>
              </w:rPr>
              <w:t>—</w:t>
            </w:r>
          </w:p>
        </w:tc>
        <w:tc>
          <w:tcPr>
            <w:tcW w:w="980" w:type="dxa"/>
            <w:vAlign w:val="bottom"/>
            <w:shd w:val="clear" w:color="auto" w:fill="CCEEFF"/>
          </w:tcPr>
          <w:p>
            <w:pPr>
              <w:jc w:val="right"/>
              <w:ind w:right="88"/>
              <w:spacing w:after="0" w:line="10" w:lineRule="exact"/>
              <w:rPr>
                <w:sz w:val="20"/>
                <w:szCs w:val="20"/>
                <w:color w:val="auto"/>
              </w:rPr>
            </w:pPr>
            <w:r>
              <w:rPr>
                <w:rFonts w:ascii="Arial" w:cs="Arial" w:eastAsia="Arial" w:hAnsi="Arial"/>
                <w:sz w:val="1"/>
                <w:szCs w:val="1"/>
                <w:color w:val="auto"/>
              </w:rPr>
              <w:t>1,183,345</w:t>
            </w:r>
          </w:p>
        </w:tc>
        <w:tc>
          <w:tcPr>
            <w:tcW w:w="2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200"/>
              <w:spacing w:after="0" w:line="10" w:lineRule="exact"/>
              <w:rPr>
                <w:sz w:val="20"/>
                <w:szCs w:val="20"/>
                <w:color w:val="auto"/>
              </w:rPr>
            </w:pPr>
            <w:r>
              <w:rPr>
                <w:rFonts w:ascii="Arial" w:cs="Arial" w:eastAsia="Arial" w:hAnsi="Arial"/>
                <w:sz w:val="1"/>
                <w:szCs w:val="1"/>
                <w:color w:val="auto"/>
              </w:rPr>
              <w:t>151,476</w:t>
            </w:r>
          </w:p>
        </w:tc>
        <w:tc>
          <w:tcPr>
            <w:tcW w:w="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tcPr>
          <w:p>
            <w:pPr>
              <w:ind w:left="1740"/>
              <w:spacing w:after="0"/>
              <w:rPr>
                <w:sz w:val="20"/>
                <w:szCs w:val="20"/>
                <w:color w:val="auto"/>
              </w:rPr>
            </w:pPr>
            <w:r>
              <w:rPr>
                <w:rFonts w:ascii="Arial" w:cs="Arial" w:eastAsia="Arial" w:hAnsi="Arial"/>
                <w:sz w:val="14"/>
                <w:szCs w:val="14"/>
                <w:color w:val="auto"/>
              </w:rPr>
              <w:t>(2)</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080" w:type="dxa"/>
            <w:vAlign w:val="bottom"/>
            <w:shd w:val="clear" w:color="auto" w:fill="CCEEFF"/>
          </w:tcPr>
          <w:p>
            <w:pPr>
              <w:jc w:val="right"/>
              <w:ind w:right="149"/>
              <w:spacing w:after="0"/>
              <w:rPr>
                <w:sz w:val="20"/>
                <w:szCs w:val="20"/>
                <w:color w:val="auto"/>
              </w:rPr>
            </w:pPr>
            <w:r>
              <w:rPr>
                <w:rFonts w:ascii="Arial" w:cs="Arial" w:eastAsia="Arial" w:hAnsi="Arial"/>
                <w:sz w:val="17"/>
                <w:szCs w:val="17"/>
                <w:color w:val="auto"/>
              </w:rPr>
              <w:t>(2,053)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(263)</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7"/>
                <w:szCs w:val="17"/>
                <w:color w:val="auto"/>
              </w:rPr>
              <w:t>(2,053)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(263)</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180" w:type="dxa"/>
            <w:vAlign w:val="bottom"/>
          </w:tcPr>
          <w:p>
            <w:pPr>
              <w:spacing w:after="0"/>
              <w:rPr>
                <w:sz w:val="20"/>
                <w:szCs w:val="20"/>
                <w:color w:val="auto"/>
              </w:rPr>
            </w:pPr>
            <w:r>
              <w:rPr>
                <w:rFonts w:ascii="Arial" w:cs="Arial" w:eastAsia="Arial" w:hAnsi="Arial"/>
                <w:sz w:val="17"/>
                <w:szCs w:val="17"/>
                <w:color w:val="auto"/>
              </w:rPr>
              <w:t>Accumulated deficit</w:t>
            </w:r>
          </w:p>
        </w:tc>
        <w:tc>
          <w:tcPr>
            <w:tcW w:w="1080" w:type="dxa"/>
            <w:vAlign w:val="bottom"/>
          </w:tcPr>
          <w:p>
            <w:pPr>
              <w:jc w:val="right"/>
              <w:ind w:right="149"/>
              <w:spacing w:after="0"/>
              <w:rPr>
                <w:sz w:val="20"/>
                <w:szCs w:val="20"/>
                <w:color w:val="auto"/>
              </w:rPr>
            </w:pPr>
            <w:r>
              <w:rPr>
                <w:rFonts w:ascii="Arial" w:cs="Arial" w:eastAsia="Arial" w:hAnsi="Arial"/>
                <w:sz w:val="17"/>
                <w:szCs w:val="17"/>
                <w:color w:val="auto"/>
              </w:rPr>
              <w:t>(230,879)</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(29,552)</w:t>
            </w:r>
          </w:p>
        </w:tc>
        <w:tc>
          <w:tcPr>
            <w:tcW w:w="980" w:type="dxa"/>
            <w:vAlign w:val="bottom"/>
          </w:tcPr>
          <w:p>
            <w:pPr>
              <w:jc w:val="right"/>
              <w:ind w:right="28"/>
              <w:spacing w:after="0"/>
              <w:rPr>
                <w:sz w:val="20"/>
                <w:szCs w:val="20"/>
                <w:color w:val="auto"/>
              </w:rPr>
            </w:pPr>
            <w:r>
              <w:rPr>
                <w:rFonts w:ascii="Arial" w:cs="Arial" w:eastAsia="Arial" w:hAnsi="Arial"/>
                <w:sz w:val="17"/>
                <w:szCs w:val="17"/>
                <w:color w:val="auto"/>
              </w:rPr>
              <w:t>(230,879)</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(29,552)</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
        </w:trPr>
        <w:tc>
          <w:tcPr>
            <w:tcW w:w="6180" w:type="dxa"/>
            <w:vAlign w:val="bottom"/>
            <w:shd w:val="clear" w:color="auto" w:fill="CCEEFF"/>
          </w:tcPr>
          <w:p>
            <w:pPr>
              <w:spacing w:after="0" w:line="6" w:lineRule="exact"/>
              <w:rPr>
                <w:sz w:val="20"/>
                <w:szCs w:val="20"/>
                <w:color w:val="auto"/>
              </w:rPr>
            </w:pPr>
            <w:r>
              <w:rPr>
                <w:rFonts w:ascii="Arial" w:cs="Arial" w:eastAsia="Arial" w:hAnsi="Arial"/>
                <w:sz w:val="1"/>
                <w:szCs w:val="1"/>
                <w:b w:val="1"/>
                <w:bCs w:val="1"/>
                <w:color w:val="auto"/>
              </w:rPr>
              <w:t>Total shareholders’ (deficit)  /equity</w:t>
            </w:r>
          </w:p>
        </w:tc>
        <w:tc>
          <w:tcPr>
            <w:tcW w:w="1080" w:type="dxa"/>
            <w:vAlign w:val="bottom"/>
            <w:shd w:val="clear" w:color="auto" w:fill="CCEEFF"/>
          </w:tcPr>
          <w:p>
            <w:pPr>
              <w:jc w:val="right"/>
              <w:ind w:right="149"/>
              <w:spacing w:after="0" w:line="6" w:lineRule="exact"/>
              <w:rPr>
                <w:sz w:val="20"/>
                <w:szCs w:val="20"/>
                <w:color w:val="auto"/>
              </w:rPr>
            </w:pPr>
            <w:r>
              <w:rPr>
                <w:rFonts w:ascii="Arial" w:cs="Arial" w:eastAsia="Arial" w:hAnsi="Arial"/>
                <w:sz w:val="1"/>
                <w:szCs w:val="1"/>
                <w:b w:val="1"/>
                <w:bCs w:val="1"/>
                <w:color w:val="auto"/>
              </w:rPr>
              <w:t>(232,901)</w:t>
            </w:r>
          </w:p>
        </w:tc>
        <w:tc>
          <w:tcPr>
            <w:tcW w:w="900" w:type="dxa"/>
            <w:vAlign w:val="bottom"/>
            <w:gridSpan w:val="2"/>
            <w:shd w:val="clear" w:color="auto" w:fill="CCEEFF"/>
          </w:tcPr>
          <w:p>
            <w:pPr>
              <w:jc w:val="right"/>
              <w:ind w:right="160"/>
              <w:spacing w:after="0" w:line="6" w:lineRule="exact"/>
              <w:rPr>
                <w:sz w:val="20"/>
                <w:szCs w:val="20"/>
                <w:color w:val="auto"/>
              </w:rPr>
            </w:pPr>
            <w:r>
              <w:rPr>
                <w:rFonts w:ascii="Arial" w:cs="Arial" w:eastAsia="Arial" w:hAnsi="Arial"/>
                <w:sz w:val="1"/>
                <w:szCs w:val="1"/>
                <w:b w:val="1"/>
                <w:bCs w:val="1"/>
                <w:color w:val="auto"/>
              </w:rPr>
              <w:t>(29,811)</w:t>
            </w:r>
          </w:p>
        </w:tc>
        <w:tc>
          <w:tcPr>
            <w:tcW w:w="980" w:type="dxa"/>
            <w:vAlign w:val="bottom"/>
            <w:shd w:val="clear" w:color="auto" w:fill="CCEEFF"/>
          </w:tcPr>
          <w:p>
            <w:pPr>
              <w:jc w:val="right"/>
              <w:ind w:right="88"/>
              <w:spacing w:after="0" w:line="6" w:lineRule="exact"/>
              <w:rPr>
                <w:sz w:val="20"/>
                <w:szCs w:val="20"/>
                <w:color w:val="auto"/>
              </w:rPr>
            </w:pPr>
            <w:r>
              <w:rPr>
                <w:rFonts w:ascii="Arial" w:cs="Arial" w:eastAsia="Arial" w:hAnsi="Arial"/>
                <w:sz w:val="1"/>
                <w:szCs w:val="1"/>
                <w:b w:val="1"/>
                <w:bCs w:val="1"/>
                <w:color w:val="auto"/>
              </w:rPr>
              <w:t>950,574</w:t>
            </w:r>
          </w:p>
        </w:tc>
        <w:tc>
          <w:tcPr>
            <w:tcW w:w="2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200"/>
              <w:spacing w:after="0" w:line="6" w:lineRule="exact"/>
              <w:rPr>
                <w:sz w:val="20"/>
                <w:szCs w:val="20"/>
                <w:color w:val="auto"/>
              </w:rPr>
            </w:pPr>
            <w:r>
              <w:rPr>
                <w:rFonts w:ascii="Arial" w:cs="Arial" w:eastAsia="Arial" w:hAnsi="Arial"/>
                <w:sz w:val="1"/>
                <w:szCs w:val="1"/>
                <w:b w:val="1"/>
                <w:bCs w:val="1"/>
                <w:color w:val="auto"/>
              </w:rPr>
              <w:t>121,669</w:t>
            </w:r>
          </w:p>
        </w:tc>
        <w:tc>
          <w:tcPr>
            <w:tcW w:w="7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shd w:val="clear" w:color="auto" w:fill="CCEEFF"/>
          </w:tcPr>
          <w:p>
            <w:pPr>
              <w:ind w:left="2000"/>
              <w:spacing w:after="0"/>
              <w:rPr>
                <w:sz w:val="20"/>
                <w:szCs w:val="20"/>
                <w:color w:val="auto"/>
              </w:rPr>
            </w:pPr>
            <w:r>
              <w:rPr>
                <w:rFonts w:ascii="Arial" w:cs="Arial" w:eastAsia="Arial" w:hAnsi="Arial"/>
                <w:sz w:val="14"/>
                <w:szCs w:val="14"/>
                <w:b w:val="1"/>
                <w:bCs w:val="1"/>
                <w:color w:val="auto"/>
              </w:rPr>
              <w:t>(2)</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80" w:type="dxa"/>
            <w:vAlign w:val="bottom"/>
          </w:tcPr>
          <w:p>
            <w:pPr>
              <w:spacing w:after="0"/>
              <w:rPr>
                <w:sz w:val="20"/>
                <w:szCs w:val="20"/>
                <w:color w:val="auto"/>
              </w:rPr>
            </w:pPr>
            <w:r>
              <w:rPr>
                <w:rFonts w:ascii="Arial" w:cs="Arial" w:eastAsia="Arial" w:hAnsi="Arial"/>
                <w:sz w:val="17"/>
                <w:szCs w:val="17"/>
                <w:b w:val="1"/>
                <w:bCs w:val="1"/>
                <w:color w:val="auto"/>
              </w:rPr>
              <w:t>Total liabilities, mezzanine equity and shareholders’ (deficit)/equity</w:t>
            </w:r>
          </w:p>
        </w:tc>
        <w:tc>
          <w:tcPr>
            <w:tcW w:w="1080" w:type="dxa"/>
            <w:vAlign w:val="bottom"/>
          </w:tcPr>
          <w:p>
            <w:pPr>
              <w:jc w:val="right"/>
              <w:ind w:right="189"/>
              <w:spacing w:after="0"/>
              <w:rPr>
                <w:sz w:val="20"/>
                <w:szCs w:val="20"/>
                <w:color w:val="auto"/>
              </w:rPr>
            </w:pPr>
            <w:r>
              <w:rPr>
                <w:rFonts w:ascii="Arial" w:cs="Arial" w:eastAsia="Arial" w:hAnsi="Arial"/>
                <w:sz w:val="17"/>
                <w:szCs w:val="17"/>
                <w:b w:val="1"/>
                <w:bCs w:val="1"/>
                <w:color w:val="auto"/>
                <w:w w:val="93"/>
              </w:rPr>
              <w:t>10,923,885</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87"/>
              </w:rPr>
              <w:t>1,398,203</w:t>
            </w:r>
          </w:p>
        </w:tc>
        <w:tc>
          <w:tcPr>
            <w:tcW w:w="220" w:type="dxa"/>
            <w:vAlign w:val="bottom"/>
          </w:tcPr>
          <w:p>
            <w:pPr>
              <w:spacing w:after="0"/>
              <w:rPr>
                <w:sz w:val="19"/>
                <w:szCs w:val="19"/>
                <w:color w:val="auto"/>
              </w:rPr>
            </w:pPr>
          </w:p>
        </w:tc>
        <w:tc>
          <w:tcPr>
            <w:tcW w:w="980" w:type="dxa"/>
            <w:vAlign w:val="bottom"/>
          </w:tcPr>
          <w:p>
            <w:pPr>
              <w:jc w:val="right"/>
              <w:ind w:right="88"/>
              <w:spacing w:after="0"/>
              <w:rPr>
                <w:sz w:val="20"/>
                <w:szCs w:val="20"/>
                <w:color w:val="auto"/>
              </w:rPr>
            </w:pPr>
            <w:r>
              <w:rPr>
                <w:rFonts w:ascii="Arial" w:cs="Arial" w:eastAsia="Arial" w:hAnsi="Arial"/>
                <w:sz w:val="17"/>
                <w:szCs w:val="17"/>
                <w:b w:val="1"/>
                <w:bCs w:val="1"/>
                <w:color w:val="auto"/>
                <w:w w:val="93"/>
              </w:rPr>
              <w:t>10,923,885</w:t>
            </w: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rPr>
              <w:t>1,398,203</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73660</wp:posOffset>
            </wp:positionV>
            <wp:extent cx="6991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Notes:</w:t>
      </w:r>
    </w:p>
    <w:p>
      <w:pPr>
        <w:ind w:left="560" w:right="160" w:hanging="324"/>
        <w:spacing w:after="0" w:line="220" w:lineRule="auto"/>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pro forma as adjusted information discussed above is illustrative only. Our additional paid-in capital, total shareholders’ equity and total capitalization following the completion of this offering are subject to adjustment based on the actual initial public offering price and other terms of this offering determined at pricing.</w:t>
      </w:r>
    </w:p>
    <w:p>
      <w:pPr>
        <w:ind w:left="560" w:hanging="324"/>
        <w:spacing w:after="0"/>
        <w:tabs>
          <w:tab w:leader="none" w:pos="5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Assuming the number of ADSs offered by us as set forth on the cover page of this prospectus remains the same, and after deduction of underwriting discounts and commissions and the</w:t>
      </w:r>
    </w:p>
    <w:p>
      <w:pPr>
        <w:spacing w:after="0" w:line="136" w:lineRule="exact"/>
        <w:rPr>
          <w:sz w:val="20"/>
          <w:szCs w:val="20"/>
          <w:color w:val="auto"/>
        </w:rPr>
      </w:pPr>
    </w:p>
    <w:p>
      <w:pPr>
        <w:ind w:left="560" w:right="100"/>
        <w:spacing w:after="0" w:line="288" w:lineRule="auto"/>
        <w:rPr>
          <w:sz w:val="20"/>
          <w:szCs w:val="20"/>
          <w:color w:val="auto"/>
        </w:rPr>
      </w:pPr>
      <w:r>
        <w:rPr>
          <w:rFonts w:ascii="Arial" w:cs="Arial" w:eastAsia="Arial" w:hAnsi="Arial"/>
          <w:sz w:val="13"/>
          <w:szCs w:val="13"/>
          <w:color w:val="auto"/>
        </w:rPr>
        <w:t>estimated offering expenses payable by us, a US$1.00 increase (decrease) in the assumed initial public offering price of US$ per share, the midpoint of the range set forth on the cover page of this prospectus, would increase (decrease) each of additional paid-in capital, total shareholders’ equity, total equity and total capitalization by US$ million.</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7"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DILUTION</w:t>
      </w:r>
    </w:p>
    <w:p>
      <w:pPr>
        <w:spacing w:after="0" w:line="227" w:lineRule="exact"/>
        <w:rPr>
          <w:sz w:val="20"/>
          <w:szCs w:val="20"/>
          <w:color w:val="auto"/>
        </w:rPr>
      </w:pPr>
    </w:p>
    <w:p>
      <w:pPr>
        <w:ind w:left="240" w:right="60" w:firstLine="438"/>
        <w:spacing w:after="0" w:line="309" w:lineRule="auto"/>
        <w:rPr>
          <w:sz w:val="20"/>
          <w:szCs w:val="20"/>
          <w:color w:val="auto"/>
        </w:rPr>
      </w:pPr>
      <w:r>
        <w:rPr>
          <w:rFonts w:ascii="Arial" w:cs="Arial" w:eastAsia="Arial" w:hAnsi="Arial"/>
          <w:sz w:val="16"/>
          <w:szCs w:val="16"/>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49" w:lineRule="exact"/>
        <w:rPr>
          <w:sz w:val="20"/>
          <w:szCs w:val="20"/>
          <w:color w:val="auto"/>
        </w:rPr>
      </w:pPr>
    </w:p>
    <w:p>
      <w:pPr>
        <w:ind w:left="240" w:right="300" w:firstLine="438"/>
        <w:spacing w:after="0" w:line="272" w:lineRule="auto"/>
        <w:rPr>
          <w:sz w:val="20"/>
          <w:szCs w:val="20"/>
          <w:color w:val="auto"/>
        </w:rPr>
      </w:pPr>
      <w:r>
        <w:rPr>
          <w:rFonts w:ascii="Arial" w:cs="Arial" w:eastAsia="Arial" w:hAnsi="Arial"/>
          <w:sz w:val="17"/>
          <w:szCs w:val="17"/>
          <w:color w:val="auto"/>
        </w:rPr>
        <w:t>Our net tangible book value as of December 31, 2017 was approximately US$ million, or US$ per ordinary share as of that date and US$ per ADS. Net tangible book value represents the amount of our total consolidated tangible assets, less the amount of our total</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consolidated liabilities. Dilution is determined by subtracting net tangible book value per ordinary share, after giving effect to the additional proceeds we</w:t>
      </w:r>
    </w:p>
    <w:p>
      <w:pPr>
        <w:spacing w:after="0" w:line="31" w:lineRule="exact"/>
        <w:rPr>
          <w:sz w:val="20"/>
          <w:szCs w:val="20"/>
          <w:color w:val="auto"/>
        </w:rPr>
      </w:pPr>
    </w:p>
    <w:p>
      <w:pPr>
        <w:ind w:left="240" w:right="200"/>
        <w:spacing w:after="0" w:line="253" w:lineRule="auto"/>
        <w:rPr>
          <w:sz w:val="20"/>
          <w:szCs w:val="20"/>
          <w:color w:val="auto"/>
        </w:rPr>
      </w:pPr>
      <w:r>
        <w:rPr>
          <w:rFonts w:ascii="Arial" w:cs="Arial" w:eastAsia="Arial" w:hAnsi="Arial"/>
          <w:sz w:val="18"/>
          <w:szCs w:val="18"/>
          <w:color w:val="auto"/>
        </w:rPr>
        <w:t>will receive from this offering, from the assumed initial public offering price of US$ per ordinary share, which is the midpoint of the estimated initial public offering price range set forth on the front cover page of this prospectus adjusted to reflect the ADS-to-ordinary share ratio, and after deducting underwriting discounts and commissions and estimated offering expenses payable by us.</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Without taking into account any other changes in net tangible book value after December 31, 2017, other than to give effect to our sale of the</w:t>
      </w:r>
    </w:p>
    <w:p>
      <w:pPr>
        <w:spacing w:after="0" w:line="45" w:lineRule="exact"/>
        <w:rPr>
          <w:sz w:val="20"/>
          <w:szCs w:val="20"/>
          <w:color w:val="auto"/>
        </w:rPr>
      </w:pPr>
    </w:p>
    <w:p>
      <w:pPr>
        <w:ind w:left="240" w:right="260"/>
        <w:spacing w:after="0" w:line="280" w:lineRule="auto"/>
        <w:rPr>
          <w:sz w:val="20"/>
          <w:szCs w:val="20"/>
          <w:color w:val="auto"/>
        </w:rPr>
      </w:pPr>
      <w:r>
        <w:rPr>
          <w:rFonts w:ascii="Arial" w:cs="Arial" w:eastAsia="Arial" w:hAnsi="Arial"/>
          <w:sz w:val="16"/>
          <w:szCs w:val="16"/>
          <w:color w:val="auto"/>
        </w:rPr>
        <w:t>ADSs offered in this offering at the assumed initial public offering price of US$ per ADS, the midpoint of the estimated range of the initial public offering price, after deduction of the underwriting discounts and commissions and estimated offering expenses payable by us, our pro forma as</w:t>
      </w:r>
    </w:p>
    <w:tbl>
      <w:tblPr>
        <w:tblLayout w:type="fixed"/>
        <w:tblInd w:w="240" w:type="dxa"/>
        <w:tblCellMar>
          <w:top w:w="0" w:type="dxa"/>
          <w:left w:w="0" w:type="dxa"/>
          <w:bottom w:w="0" w:type="dxa"/>
          <w:right w:w="0" w:type="dxa"/>
        </w:tblCellMar>
      </w:tblPr>
      <w:tr>
        <w:trPr>
          <w:trHeight w:val="201"/>
        </w:trPr>
        <w:tc>
          <w:tcPr>
            <w:tcW w:w="5820" w:type="dxa"/>
            <w:vAlign w:val="bottom"/>
          </w:tcPr>
          <w:p>
            <w:pPr>
              <w:spacing w:after="0" w:line="201" w:lineRule="exact"/>
              <w:rPr>
                <w:sz w:val="20"/>
                <w:szCs w:val="20"/>
                <w:color w:val="auto"/>
              </w:rPr>
            </w:pPr>
            <w:r>
              <w:rPr>
                <w:rFonts w:ascii="Arial" w:cs="Arial" w:eastAsia="Arial" w:hAnsi="Arial"/>
                <w:sz w:val="18"/>
                <w:szCs w:val="18"/>
                <w:color w:val="auto"/>
                <w:w w:val="89"/>
              </w:rPr>
              <w:t>adjusted net tangible book value as of December 31, 2017 would have been US$</w:t>
            </w:r>
          </w:p>
        </w:tc>
        <w:tc>
          <w:tcPr>
            <w:tcW w:w="1880" w:type="dxa"/>
            <w:vAlign w:val="bottom"/>
          </w:tcPr>
          <w:p>
            <w:pPr>
              <w:ind w:left="540"/>
              <w:spacing w:after="0" w:line="201" w:lineRule="exact"/>
              <w:rPr>
                <w:sz w:val="20"/>
                <w:szCs w:val="20"/>
                <w:color w:val="auto"/>
              </w:rPr>
            </w:pPr>
            <w:r>
              <w:rPr>
                <w:rFonts w:ascii="Arial" w:cs="Arial" w:eastAsia="Arial" w:hAnsi="Arial"/>
                <w:sz w:val="18"/>
                <w:szCs w:val="18"/>
                <w:color w:val="auto"/>
              </w:rPr>
              <w:t>million, or US$</w:t>
            </w:r>
          </w:p>
        </w:tc>
        <w:tc>
          <w:tcPr>
            <w:tcW w:w="240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1"/>
              </w:rPr>
              <w:t>per ordinary share and US$</w:t>
            </w:r>
          </w:p>
        </w:tc>
        <w:tc>
          <w:tcPr>
            <w:tcW w:w="86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per</w:t>
            </w: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w w:val="92"/>
              </w:rPr>
              <w:t>ADS. This represents an immediate increase in net tangible book value of US$</w:t>
            </w: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w w:val="93"/>
              </w:rPr>
              <w:t>per ordinary share and US$</w:t>
            </w:r>
          </w:p>
        </w:tc>
        <w:tc>
          <w:tcPr>
            <w:tcW w:w="2660" w:type="dxa"/>
            <w:vAlign w:val="bottom"/>
            <w:gridSpan w:val="5"/>
          </w:tcPr>
          <w:p>
            <w:pPr>
              <w:ind w:left="460"/>
              <w:spacing w:after="0"/>
              <w:rPr>
                <w:sz w:val="20"/>
                <w:szCs w:val="20"/>
                <w:color w:val="auto"/>
              </w:rPr>
            </w:pPr>
            <w:r>
              <w:rPr>
                <w:rFonts w:ascii="Arial" w:cs="Arial" w:eastAsia="Arial" w:hAnsi="Arial"/>
                <w:sz w:val="18"/>
                <w:szCs w:val="18"/>
                <w:color w:val="auto"/>
              </w:rPr>
              <w:t>per ADS to the existing</w:t>
            </w: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w w:val="99"/>
              </w:rPr>
              <w:t>shareholders and an immediate dilution in net tangible book value of US$</w:t>
            </w:r>
          </w:p>
        </w:tc>
        <w:tc>
          <w:tcPr>
            <w:tcW w:w="2480" w:type="dxa"/>
            <w:vAlign w:val="bottom"/>
            <w:gridSpan w:val="2"/>
          </w:tcPr>
          <w:p>
            <w:pPr>
              <w:ind w:left="40"/>
              <w:spacing w:after="0"/>
              <w:rPr>
                <w:sz w:val="20"/>
                <w:szCs w:val="20"/>
                <w:color w:val="auto"/>
              </w:rPr>
            </w:pPr>
            <w:r>
              <w:rPr>
                <w:rFonts w:ascii="Arial" w:cs="Arial" w:eastAsia="Arial" w:hAnsi="Arial"/>
                <w:sz w:val="18"/>
                <w:szCs w:val="18"/>
                <w:color w:val="auto"/>
              </w:rPr>
              <w:t>per ordinary share and US$</w:t>
            </w:r>
          </w:p>
        </w:tc>
        <w:tc>
          <w:tcPr>
            <w:tcW w:w="2660" w:type="dxa"/>
            <w:vAlign w:val="bottom"/>
            <w:gridSpan w:val="5"/>
          </w:tcPr>
          <w:p>
            <w:pPr>
              <w:ind w:left="120"/>
              <w:spacing w:after="0"/>
              <w:rPr>
                <w:sz w:val="20"/>
                <w:szCs w:val="20"/>
                <w:color w:val="auto"/>
              </w:rPr>
            </w:pPr>
            <w:r>
              <w:rPr>
                <w:rFonts w:ascii="Arial" w:cs="Arial" w:eastAsia="Arial" w:hAnsi="Arial"/>
                <w:sz w:val="18"/>
                <w:szCs w:val="18"/>
                <w:color w:val="auto"/>
                <w:w w:val="97"/>
              </w:rPr>
              <w:t>per ADS to investors purchasing</w:t>
            </w: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ADSs in this offering. The following table illustrates such dilution:</w:t>
            </w:r>
          </w:p>
        </w:tc>
        <w:tc>
          <w:tcPr>
            <w:tcW w:w="1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89"/>
        </w:trPr>
        <w:tc>
          <w:tcPr>
            <w:tcW w:w="5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14"/>
                <w:szCs w:val="14"/>
                <w:b w:val="1"/>
                <w:bCs w:val="1"/>
                <w:color w:val="auto"/>
              </w:rPr>
              <w:t>Per Ordinary Share</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ADS</w:t>
            </w:r>
          </w:p>
        </w:tc>
      </w:tr>
      <w:tr>
        <w:trPr>
          <w:trHeight w:val="208"/>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18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Net tangible book value as of December 31, 2017</w:t>
            </w:r>
          </w:p>
        </w:tc>
        <w:tc>
          <w:tcPr>
            <w:tcW w:w="18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US$</w:t>
            </w: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US$</w:t>
            </w:r>
          </w:p>
        </w:tc>
      </w:tr>
      <w:tr>
        <w:trPr>
          <w:trHeight w:val="200"/>
        </w:trPr>
        <w:tc>
          <w:tcPr>
            <w:tcW w:w="7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 forma net tangible book value after giving effect to the conversion of our preferred</w:t>
            </w: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w:t>
            </w:r>
          </w:p>
        </w:tc>
      </w:tr>
      <w:tr>
        <w:trPr>
          <w:trHeight w:val="200"/>
        </w:trPr>
        <w:tc>
          <w:tcPr>
            <w:tcW w:w="7700" w:type="dxa"/>
            <w:vAlign w:val="bottom"/>
            <w:gridSpan w:val="2"/>
          </w:tcPr>
          <w:p>
            <w:pPr>
              <w:spacing w:after="0" w:line="201" w:lineRule="exact"/>
              <w:rPr>
                <w:sz w:val="20"/>
                <w:szCs w:val="20"/>
                <w:color w:val="auto"/>
              </w:rPr>
            </w:pPr>
            <w:r>
              <w:rPr>
                <w:rFonts w:ascii="Arial" w:cs="Arial" w:eastAsia="Arial" w:hAnsi="Arial"/>
                <w:sz w:val="18"/>
                <w:szCs w:val="18"/>
                <w:color w:val="auto"/>
              </w:rPr>
              <w:t>Pro forma as adjusted net tangible book value after giving effect to the conversion of our</w:t>
            </w: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preferred shares and this offering</w:t>
            </w:r>
          </w:p>
        </w:tc>
        <w:tc>
          <w:tcPr>
            <w:tcW w:w="18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US$</w:t>
            </w: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US$</w:t>
            </w:r>
          </w:p>
        </w:tc>
      </w:tr>
      <w:tr>
        <w:trPr>
          <w:trHeight w:val="215"/>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Amount of dilution in net tangible book value to new investors in this offering</w:t>
            </w: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w:t>
            </w:r>
          </w:p>
        </w:tc>
      </w:tr>
    </w:tbl>
    <w:p>
      <w:pPr>
        <w:spacing w:after="0" w:line="200" w:lineRule="exact"/>
        <w:rPr>
          <w:sz w:val="20"/>
          <w:szCs w:val="20"/>
          <w:color w:val="auto"/>
        </w:rPr>
      </w:pPr>
    </w:p>
    <w:p>
      <w:pPr>
        <w:ind w:left="240" w:right="140" w:firstLine="438"/>
        <w:spacing w:after="0" w:line="268" w:lineRule="auto"/>
        <w:rPr>
          <w:sz w:val="20"/>
          <w:szCs w:val="20"/>
          <w:color w:val="auto"/>
        </w:rPr>
      </w:pPr>
      <w:r>
        <w:rPr>
          <w:rFonts w:ascii="Arial" w:cs="Arial" w:eastAsia="Arial" w:hAnsi="Arial"/>
          <w:sz w:val="17"/>
          <w:szCs w:val="17"/>
          <w:color w:val="auto"/>
        </w:rPr>
        <w:t>A US$1.00 increase (decrease) in the assumed initial public offering price of US$ per ADS would increase (decrease) our pro forma as adjusted net tangible book value after giving effect to this offering by US$ , the pro forma as adjusted net tangible book value per ordinary share and per ADS after giving effect to this offering by US$ per ordinary share and US$ per ADS, and the dilution in pro forma as adjusted net tangible book value per ordinary share and per ADS to new investors in this offering by US$ per ordinary share and US$ per ADS,</w:t>
      </w:r>
    </w:p>
    <w:p>
      <w:pPr>
        <w:spacing w:after="0" w:line="1" w:lineRule="exact"/>
        <w:rPr>
          <w:sz w:val="20"/>
          <w:szCs w:val="20"/>
          <w:color w:val="auto"/>
        </w:rPr>
      </w:pPr>
    </w:p>
    <w:p>
      <w:pPr>
        <w:ind w:left="240" w:right="540"/>
        <w:spacing w:after="0" w:line="258" w:lineRule="auto"/>
        <w:rPr>
          <w:sz w:val="20"/>
          <w:szCs w:val="20"/>
          <w:color w:val="auto"/>
        </w:rPr>
      </w:pPr>
      <w:r>
        <w:rPr>
          <w:rFonts w:ascii="Arial" w:cs="Arial" w:eastAsia="Arial" w:hAnsi="Arial"/>
          <w:sz w:val="18"/>
          <w:szCs w:val="18"/>
          <w:color w:val="auto"/>
        </w:rPr>
        <w:t>assuming no change to the number of ADSs offered by us as set forth on the front cover page of this prospectus, and after deducting underwriting discounts and commissions and estimated offering expenses payable by us.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7"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80" w:firstLine="438"/>
        <w:spacing w:after="0" w:line="255" w:lineRule="auto"/>
        <w:rPr>
          <w:sz w:val="20"/>
          <w:szCs w:val="20"/>
          <w:color w:val="auto"/>
        </w:rPr>
      </w:pPr>
      <w:r>
        <w:rPr>
          <w:rFonts w:ascii="Arial" w:cs="Arial" w:eastAsia="Arial" w:hAnsi="Arial"/>
          <w:sz w:val="18"/>
          <w:szCs w:val="18"/>
          <w:color w:val="auto"/>
        </w:rPr>
        <w:t>The following table summarizes, on a pro forma as adjusted basis as of December 31, 2017, the differences between existing shareholders and the new investors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over-allotment option granted to the underwriters.</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Average</w:t>
            </w:r>
          </w:p>
        </w:tc>
        <w:tc>
          <w:tcPr>
            <w:tcW w:w="9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9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8"/>
              </w:rPr>
              <w:t>Ordinary Shares Purchased</w:t>
            </w:r>
          </w:p>
        </w:tc>
        <w:tc>
          <w:tcPr>
            <w:tcW w:w="460" w:type="dxa"/>
            <w:vAlign w:val="bottom"/>
          </w:tcPr>
          <w:p>
            <w:pPr>
              <w:spacing w:after="0"/>
              <w:rPr>
                <w:sz w:val="12"/>
                <w:szCs w:val="12"/>
                <w:color w:val="auto"/>
              </w:rPr>
            </w:pPr>
          </w:p>
        </w:tc>
        <w:tc>
          <w:tcPr>
            <w:tcW w:w="18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Total Consideration</w:t>
            </w:r>
          </w:p>
        </w:tc>
        <w:tc>
          <w:tcPr>
            <w:tcW w:w="600" w:type="dxa"/>
            <w:vAlign w:val="bottom"/>
            <w:vMerge w:val="restart"/>
          </w:tcPr>
          <w:p>
            <w:pPr>
              <w:spacing w:after="0"/>
              <w:rPr>
                <w:sz w:val="12"/>
                <w:szCs w:val="12"/>
                <w:color w:val="auto"/>
              </w:rPr>
            </w:pPr>
          </w:p>
        </w:tc>
        <w:tc>
          <w:tcPr>
            <w:tcW w:w="138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2"/>
              </w:rPr>
              <w:t>Price Per</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980" w:type="dxa"/>
            <w:vAlign w:val="bottom"/>
            <w:tcBorders>
              <w:bottom w:val="single" w:sz="8" w:color="auto"/>
            </w:tcBorders>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1860" w:type="dxa"/>
            <w:vAlign w:val="bottom"/>
            <w:tcBorders>
              <w:bottom w:val="single" w:sz="8" w:color="auto"/>
            </w:tcBorders>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380" w:type="dxa"/>
            <w:vAlign w:val="bottom"/>
            <w:gridSpan w:val="2"/>
            <w:vMerge w:val="restart"/>
          </w:tcPr>
          <w:p>
            <w:pPr>
              <w:jc w:val="center"/>
              <w:ind w:right="480"/>
              <w:spacing w:after="0" w:line="148" w:lineRule="exact"/>
              <w:rPr>
                <w:sz w:val="20"/>
                <w:szCs w:val="20"/>
                <w:color w:val="auto"/>
              </w:rPr>
            </w:pPr>
            <w:r>
              <w:rPr>
                <w:rFonts w:ascii="Arial" w:cs="Arial" w:eastAsia="Arial" w:hAnsi="Arial"/>
                <w:sz w:val="14"/>
                <w:szCs w:val="14"/>
                <w:b w:val="1"/>
                <w:bCs w:val="1"/>
                <w:color w:val="auto"/>
                <w:w w:val="99"/>
              </w:rPr>
              <w:t>Ordinary</w:t>
            </w:r>
          </w:p>
        </w:tc>
        <w:tc>
          <w:tcPr>
            <w:tcW w:w="980" w:type="dxa"/>
            <w:vAlign w:val="bottom"/>
            <w:gridSpan w:val="2"/>
            <w:vMerge w:val="restart"/>
          </w:tcPr>
          <w:p>
            <w:pPr>
              <w:jc w:val="center"/>
              <w:ind w:right="60"/>
              <w:spacing w:after="0" w:line="148"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2"/>
                <w:szCs w:val="2"/>
                <w:color w:val="auto"/>
              </w:rPr>
            </w:pP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Percent</w:t>
            </w:r>
          </w:p>
        </w:tc>
        <w:tc>
          <w:tcPr>
            <w:tcW w:w="460" w:type="dxa"/>
            <w:vAlign w:val="bottom"/>
          </w:tcPr>
          <w:p>
            <w:pPr>
              <w:spacing w:after="0"/>
              <w:rPr>
                <w:sz w:val="2"/>
                <w:szCs w:val="2"/>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2"/>
                <w:szCs w:val="2"/>
                <w:color w:val="auto"/>
              </w:rPr>
            </w:pPr>
          </w:p>
        </w:tc>
        <w:tc>
          <w:tcPr>
            <w:tcW w:w="1080" w:type="dxa"/>
            <w:vAlign w:val="bottom"/>
            <w:gridSpan w:val="2"/>
            <w:vMerge w:val="restart"/>
          </w:tcPr>
          <w:p>
            <w:pPr>
              <w:jc w:val="right"/>
              <w:ind w:right="511"/>
              <w:spacing w:after="0"/>
              <w:rPr>
                <w:sz w:val="20"/>
                <w:szCs w:val="20"/>
                <w:color w:val="auto"/>
              </w:rPr>
            </w:pPr>
            <w:r>
              <w:rPr>
                <w:rFonts w:ascii="Arial" w:cs="Arial" w:eastAsia="Arial" w:hAnsi="Arial"/>
                <w:sz w:val="14"/>
                <w:szCs w:val="14"/>
                <w:b w:val="1"/>
                <w:bCs w:val="1"/>
                <w:color w:val="auto"/>
                <w:w w:val="89"/>
              </w:rPr>
              <w:t>Percent</w:t>
            </w:r>
          </w:p>
        </w:tc>
        <w:tc>
          <w:tcPr>
            <w:tcW w:w="13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ADS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New investors</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US$</w:t>
            </w:r>
          </w:p>
        </w:tc>
        <w:tc>
          <w:tcPr>
            <w:tcW w:w="460" w:type="dxa"/>
            <w:vAlign w:val="bottom"/>
          </w:tcPr>
          <w:p>
            <w:pPr>
              <w:spacing w:after="0"/>
              <w:rPr>
                <w:sz w:val="18"/>
                <w:szCs w:val="18"/>
                <w:color w:val="auto"/>
              </w:rPr>
            </w:pPr>
          </w:p>
        </w:tc>
        <w:tc>
          <w:tcPr>
            <w:tcW w:w="1080" w:type="dxa"/>
            <w:vAlign w:val="bottom"/>
            <w:gridSpan w:val="2"/>
          </w:tcPr>
          <w:p>
            <w:pPr>
              <w:jc w:val="right"/>
              <w:ind w:right="371"/>
              <w:spacing w:after="0"/>
              <w:rPr>
                <w:sz w:val="20"/>
                <w:szCs w:val="20"/>
                <w:color w:val="auto"/>
              </w:rPr>
            </w:pPr>
            <w:r>
              <w:rPr>
                <w:rFonts w:ascii="Arial" w:cs="Arial" w:eastAsia="Arial" w:hAnsi="Arial"/>
                <w:sz w:val="18"/>
                <w:szCs w:val="18"/>
                <w:color w:val="auto"/>
              </w:rPr>
              <w:t>%</w:t>
            </w:r>
          </w:p>
        </w:tc>
        <w:tc>
          <w:tcPr>
            <w:tcW w:w="1380" w:type="dxa"/>
            <w:vAlign w:val="bottom"/>
            <w:gridSpan w:val="2"/>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color w:val="auto"/>
                <w:w w:val="98"/>
              </w:rPr>
              <w:t>100.0%</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240" w:right="20" w:firstLine="438"/>
        <w:spacing w:after="0" w:line="305" w:lineRule="auto"/>
        <w:rPr>
          <w:sz w:val="20"/>
          <w:szCs w:val="20"/>
          <w:color w:val="auto"/>
        </w:rPr>
      </w:pPr>
      <w:r>
        <w:rPr>
          <w:rFonts w:ascii="Arial" w:cs="Arial" w:eastAsia="Arial" w:hAnsi="Arial"/>
          <w:sz w:val="17"/>
          <w:szCs w:val="17"/>
          <w:color w:val="auto"/>
        </w:rPr>
        <w:t>The pro forma as adjusted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48" w:lineRule="exact"/>
        <w:rPr>
          <w:sz w:val="20"/>
          <w:szCs w:val="20"/>
          <w:color w:val="auto"/>
        </w:rPr>
      </w:pPr>
    </w:p>
    <w:p>
      <w:pPr>
        <w:jc w:val="both"/>
        <w:ind w:left="240" w:right="160" w:firstLine="438"/>
        <w:spacing w:after="0" w:line="262" w:lineRule="auto"/>
        <w:rPr>
          <w:sz w:val="20"/>
          <w:szCs w:val="20"/>
          <w:color w:val="auto"/>
        </w:rPr>
      </w:pPr>
      <w:r>
        <w:rPr>
          <w:rFonts w:ascii="Arial" w:cs="Arial" w:eastAsia="Arial" w:hAnsi="Arial"/>
          <w:sz w:val="18"/>
          <w:szCs w:val="18"/>
          <w:color w:val="auto"/>
        </w:rPr>
        <w:t>The discussion and tables above assume no exercise of any outstanding share options outstanding as of the date of this prospectus. As of the date of this prospectus, there are 111,655,465 ordinary shares issuable upon exercise of outstanding share options at a nominal exercise price. To the extent that any of these options are exercised, there will be further dilution to new investors.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7"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EXCHANGE RATE INFORMATION</w:t>
      </w:r>
    </w:p>
    <w:p>
      <w:pPr>
        <w:spacing w:after="0" w:line="227"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Our reporting currency is the Hong Kong dollars because our business is mainly conducted in Hong Kong and most of our revenues are denominated in Hong Kong dollars. This prospectus contains translations of Hong Kong dollars and Renminbi amounts into U.S. dollars at specific rates solely for the convenience of the reader. The conversion of Hong Kong dollars into U.S. dollars and the conversation of Renminbi into U.S. dollars in this prospectus are based on the exchange rates set forth in the H.10 statistical release of the Board of Governors of the Federal Reserve System. Unless otherwise noted, all translations from Hong Kong dollars to U.S. dollars and from U.S. dollars to Hong Kong dollars in this prospectus were made at a rate of HK$7.8128 to US$1.00, and all translations from Renminbi to U.S. dollars and from U.S. dollars to Renminbi in this prospectus were made at a rate of RMB6.5063 to US$1.00, the rates in effect as of December 29, 2017.</w:t>
      </w:r>
    </w:p>
    <w:p>
      <w:pPr>
        <w:spacing w:after="0" w:line="179" w:lineRule="exact"/>
        <w:rPr>
          <w:sz w:val="20"/>
          <w:szCs w:val="20"/>
          <w:color w:val="auto"/>
        </w:rPr>
      </w:pPr>
    </w:p>
    <w:p>
      <w:pPr>
        <w:ind w:left="240" w:right="40" w:firstLine="438"/>
        <w:spacing w:after="0" w:line="267" w:lineRule="auto"/>
        <w:rPr>
          <w:sz w:val="20"/>
          <w:szCs w:val="20"/>
          <w:color w:val="auto"/>
        </w:rPr>
      </w:pPr>
      <w:r>
        <w:rPr>
          <w:rFonts w:ascii="Arial" w:cs="Arial" w:eastAsia="Arial" w:hAnsi="Arial"/>
          <w:sz w:val="17"/>
          <w:szCs w:val="17"/>
          <w:color w:val="auto"/>
        </w:rPr>
        <w:t>We make no representation that any Hong Kong dollars or U.S. dollar amounts could have been, or could be, converted into U.S. dollars or Hong Kong dollars, as the case may be, at any particular rate, the rates stated below, or at all. The Hong Kong dollar is freely convertible into other currencies (including U.S. dollar). Since October 7, 1983, the Hong Kong dollar has been officially linked to U.S. dollar at the rate of HK$7.80 to US$1.00. The link is supported by an agreement between Hong Kong’s three bank note-issuing banks and the Hong Kong government pursuant to which bank notes issued by such banks are backed by certificates of indebtedness purchased by such banks from the Hong Kong Government Exchange Fund with U.S. dollar at the fixed exchange rate of HK$7.80 to US$1.00 and held as cover for the bank notes issue. When bank notes are withdrawn from circulation, the issuing bank surrenders certificates of indebtedness to the Hong Kong Government Exchange Fund and is paid the equivalent amount in U.S. dollars at the fixed rate of exchange. Hong Kong’s three bank note-issuing banks are The Hongkong and Shanghai Banking Corporation Limited, Standard Chartered Bank and Bank of China (Hong Kong) Limited. In May 2005, the Hong Kong Monetary Authority broadened the link from the original rate of HK$7.80 per US$1.00 to a rate range of HK$7.75 to HK$7.85 per US$1.00. No assurance can be given that the Hong Kong government will maintain the link at HK$7.75 to HK$7.85 per US$1.00 or at all.</w:t>
      </w:r>
    </w:p>
    <w:p>
      <w:pPr>
        <w:spacing w:after="0" w:line="186" w:lineRule="exact"/>
        <w:rPr>
          <w:sz w:val="20"/>
          <w:szCs w:val="20"/>
          <w:color w:val="auto"/>
        </w:rPr>
      </w:pPr>
    </w:p>
    <w:p>
      <w:pPr>
        <w:jc w:val="both"/>
        <w:ind w:left="240" w:right="360" w:firstLine="438"/>
        <w:spacing w:after="0" w:line="309" w:lineRule="auto"/>
        <w:rPr>
          <w:sz w:val="20"/>
          <w:szCs w:val="20"/>
          <w:color w:val="auto"/>
        </w:rPr>
      </w:pPr>
      <w:r>
        <w:rPr>
          <w:rFonts w:ascii="Arial" w:cs="Arial" w:eastAsia="Arial" w:hAnsi="Arial"/>
          <w:sz w:val="16"/>
          <w:szCs w:val="16"/>
          <w:color w:val="auto"/>
        </w:rPr>
        <w:t>In addition,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w:t>
      </w:r>
    </w:p>
    <w:p>
      <w:pPr>
        <w:spacing w:after="0" w:line="149" w:lineRule="exact"/>
        <w:rPr>
          <w:sz w:val="20"/>
          <w:szCs w:val="20"/>
          <w:color w:val="auto"/>
        </w:rPr>
      </w:pPr>
    </w:p>
    <w:p>
      <w:pPr>
        <w:ind w:left="240" w:right="60" w:firstLine="438"/>
        <w:spacing w:after="0" w:line="275" w:lineRule="auto"/>
        <w:rPr>
          <w:sz w:val="20"/>
          <w:szCs w:val="20"/>
          <w:color w:val="auto"/>
        </w:rPr>
      </w:pPr>
      <w:r>
        <w:rPr>
          <w:rFonts w:ascii="Arial" w:cs="Arial" w:eastAsia="Arial" w:hAnsi="Arial"/>
          <w:sz w:val="18"/>
          <w:szCs w:val="18"/>
          <w:color w:val="auto"/>
        </w:rPr>
        <w:t>On October 12, 2018, the exchange rate for Hong Kong dollars was HK$7.8357 to US$1.00 and the exchange rate for Renminbi was RMB6.9182 to US$1.00.</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7"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color w:val="auto"/>
        </w:rPr>
        <w:t>The following table sets forth information concerning exchange rates between the Hong Kong dollar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200"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4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Certified Exchange Rate</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Period</w:t>
            </w:r>
          </w:p>
        </w:tc>
        <w:tc>
          <w:tcPr>
            <w:tcW w:w="10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9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Low</w:t>
            </w:r>
          </w:p>
        </w:tc>
        <w:tc>
          <w:tcPr>
            <w:tcW w:w="7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64"/>
        </w:trPr>
        <w:tc>
          <w:tcPr>
            <w:tcW w:w="6680" w:type="dxa"/>
            <w:vAlign w:val="bottom"/>
            <w:gridSpan w:val="2"/>
            <w:vMerge w:val="continue"/>
          </w:tcPr>
          <w:p>
            <w:pPr>
              <w:spacing w:after="0"/>
              <w:rPr>
                <w:sz w:val="14"/>
                <w:szCs w:val="14"/>
                <w:color w:val="auto"/>
              </w:rPr>
            </w:pPr>
          </w:p>
        </w:tc>
        <w:tc>
          <w:tcPr>
            <w:tcW w:w="720" w:type="dxa"/>
            <w:vAlign w:val="bottom"/>
          </w:tcPr>
          <w:p>
            <w:pPr>
              <w:ind w:left="140"/>
              <w:spacing w:after="0" w:line="157" w:lineRule="exact"/>
              <w:rPr>
                <w:sz w:val="20"/>
                <w:szCs w:val="20"/>
                <w:color w:val="auto"/>
              </w:rPr>
            </w:pPr>
            <w:r>
              <w:rPr>
                <w:rFonts w:ascii="Arial" w:cs="Arial" w:eastAsia="Arial" w:hAnsi="Arial"/>
                <w:sz w:val="14"/>
                <w:szCs w:val="14"/>
                <w:b w:val="1"/>
                <w:bCs w:val="1"/>
                <w:color w:val="auto"/>
              </w:rPr>
              <w:t>End</w:t>
            </w: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Borders>
              <w:top w:val="single" w:sz="8" w:color="auto"/>
            </w:tcBorders>
          </w:tcPr>
          <w:p>
            <w:pPr>
              <w:spacing w:after="0"/>
              <w:rPr>
                <w:sz w:val="12"/>
                <w:szCs w:val="12"/>
                <w:color w:val="auto"/>
              </w:rPr>
            </w:pPr>
          </w:p>
        </w:tc>
        <w:tc>
          <w:tcPr>
            <w:tcW w:w="62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2"/>
          </w:tcPr>
          <w:p>
            <w:pPr>
              <w:jc w:val="right"/>
              <w:ind w:right="292"/>
              <w:spacing w:after="0" w:line="148" w:lineRule="exact"/>
              <w:rPr>
                <w:sz w:val="20"/>
                <w:szCs w:val="20"/>
                <w:color w:val="auto"/>
              </w:rPr>
            </w:pPr>
            <w:r>
              <w:rPr>
                <w:rFonts w:ascii="Arial" w:cs="Arial" w:eastAsia="Arial" w:hAnsi="Arial"/>
                <w:sz w:val="14"/>
                <w:szCs w:val="14"/>
                <w:b w:val="1"/>
                <w:bCs w:val="1"/>
                <w:color w:val="auto"/>
              </w:rPr>
              <w:t>(HK$ per US$1.00)</w:t>
            </w: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2013</w:t>
            </w:r>
          </w:p>
        </w:tc>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7.7539</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7.7565</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7.7654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7.7503</w:t>
            </w:r>
          </w:p>
        </w:tc>
        <w:tc>
          <w:tcPr>
            <w:tcW w:w="0" w:type="dxa"/>
            <w:vAlign w:val="bottom"/>
          </w:tcPr>
          <w:p>
            <w:pPr>
              <w:spacing w:after="0"/>
              <w:rPr>
                <w:sz w:val="1"/>
                <w:szCs w:val="1"/>
                <w:color w:val="auto"/>
              </w:rPr>
            </w:pPr>
          </w:p>
        </w:tc>
      </w:tr>
      <w:tr>
        <w:trPr>
          <w:trHeight w:val="215"/>
        </w:trPr>
        <w:tc>
          <w:tcPr>
            <w:tcW w:w="420" w:type="dxa"/>
            <w:vAlign w:val="bottom"/>
          </w:tcPr>
          <w:p>
            <w:pPr>
              <w:spacing w:after="0"/>
              <w:rPr>
                <w:sz w:val="20"/>
                <w:szCs w:val="20"/>
                <w:color w:val="auto"/>
              </w:rPr>
            </w:pPr>
            <w:r>
              <w:rPr>
                <w:rFonts w:ascii="Arial" w:cs="Arial" w:eastAsia="Arial" w:hAnsi="Arial"/>
                <w:sz w:val="18"/>
                <w:szCs w:val="18"/>
                <w:color w:val="auto"/>
                <w:w w:val="99"/>
              </w:rPr>
              <w:t>2014</w:t>
            </w:r>
          </w:p>
        </w:tc>
        <w:tc>
          <w:tcPr>
            <w:tcW w:w="626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7.7531</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7.7545</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7.7669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7.7495</w:t>
            </w:r>
          </w:p>
        </w:tc>
        <w:tc>
          <w:tcPr>
            <w:tcW w:w="0" w:type="dxa"/>
            <w:vAlign w:val="bottom"/>
          </w:tcPr>
          <w:p>
            <w:pPr>
              <w:spacing w:after="0"/>
              <w:rPr>
                <w:sz w:val="1"/>
                <w:szCs w:val="1"/>
                <w:color w:val="auto"/>
              </w:rPr>
            </w:pPr>
          </w:p>
        </w:tc>
      </w:tr>
      <w:tr>
        <w:trPr>
          <w:trHeight w:val="215"/>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2015</w:t>
            </w:r>
          </w:p>
        </w:tc>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7.7507</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7.7524</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7.7686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7.7495</w:t>
            </w:r>
          </w:p>
        </w:tc>
        <w:tc>
          <w:tcPr>
            <w:tcW w:w="0" w:type="dxa"/>
            <w:vAlign w:val="bottom"/>
          </w:tcPr>
          <w:p>
            <w:pPr>
              <w:spacing w:after="0"/>
              <w:rPr>
                <w:sz w:val="1"/>
                <w:szCs w:val="1"/>
                <w:color w:val="auto"/>
              </w:rPr>
            </w:pPr>
          </w:p>
        </w:tc>
      </w:tr>
      <w:tr>
        <w:trPr>
          <w:trHeight w:val="215"/>
        </w:trPr>
        <w:tc>
          <w:tcPr>
            <w:tcW w:w="420" w:type="dxa"/>
            <w:vAlign w:val="bottom"/>
          </w:tcPr>
          <w:p>
            <w:pPr>
              <w:spacing w:after="0"/>
              <w:rPr>
                <w:sz w:val="20"/>
                <w:szCs w:val="20"/>
                <w:color w:val="auto"/>
              </w:rPr>
            </w:pPr>
            <w:r>
              <w:rPr>
                <w:rFonts w:ascii="Arial" w:cs="Arial" w:eastAsia="Arial" w:hAnsi="Arial"/>
                <w:sz w:val="18"/>
                <w:szCs w:val="18"/>
                <w:color w:val="auto"/>
                <w:w w:val="99"/>
              </w:rPr>
              <w:t>2016</w:t>
            </w:r>
          </w:p>
        </w:tc>
        <w:tc>
          <w:tcPr>
            <w:tcW w:w="626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7.7534</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7.7620</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7.8270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7.7505</w:t>
            </w:r>
          </w:p>
        </w:tc>
        <w:tc>
          <w:tcPr>
            <w:tcW w:w="0" w:type="dxa"/>
            <w:vAlign w:val="bottom"/>
          </w:tcPr>
          <w:p>
            <w:pPr>
              <w:spacing w:after="0"/>
              <w:rPr>
                <w:sz w:val="1"/>
                <w:szCs w:val="1"/>
                <w:color w:val="auto"/>
              </w:rPr>
            </w:pPr>
          </w:p>
        </w:tc>
      </w:tr>
      <w:tr>
        <w:trPr>
          <w:trHeight w:val="215"/>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2017</w:t>
            </w:r>
          </w:p>
        </w:tc>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7.8128</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7.7926</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7.8267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7.7540</w:t>
            </w:r>
          </w:p>
        </w:tc>
        <w:tc>
          <w:tcPr>
            <w:tcW w:w="0" w:type="dxa"/>
            <w:vAlign w:val="bottom"/>
          </w:tcPr>
          <w:p>
            <w:pPr>
              <w:spacing w:after="0"/>
              <w:rPr>
                <w:sz w:val="1"/>
                <w:szCs w:val="1"/>
                <w:color w:val="auto"/>
              </w:rPr>
            </w:pPr>
          </w:p>
        </w:tc>
      </w:tr>
      <w:tr>
        <w:trPr>
          <w:trHeight w:val="215"/>
        </w:trPr>
        <w:tc>
          <w:tcPr>
            <w:tcW w:w="420" w:type="dxa"/>
            <w:vAlign w:val="bottom"/>
          </w:tcPr>
          <w:p>
            <w:pPr>
              <w:spacing w:after="0"/>
              <w:rPr>
                <w:sz w:val="20"/>
                <w:szCs w:val="20"/>
                <w:color w:val="auto"/>
              </w:rPr>
            </w:pPr>
            <w:r>
              <w:rPr>
                <w:rFonts w:ascii="Arial" w:cs="Arial" w:eastAsia="Arial" w:hAnsi="Arial"/>
                <w:sz w:val="18"/>
                <w:szCs w:val="18"/>
                <w:color w:val="auto"/>
                <w:w w:val="99"/>
              </w:rPr>
              <w:t>2018</w:t>
            </w:r>
          </w:p>
        </w:tc>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April</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7.8479</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7.8482</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7.8499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7.8432</w:t>
            </w:r>
          </w:p>
        </w:tc>
        <w:tc>
          <w:tcPr>
            <w:tcW w:w="0" w:type="dxa"/>
            <w:vAlign w:val="bottom"/>
          </w:tcPr>
          <w:p>
            <w:pPr>
              <w:spacing w:after="0"/>
              <w:rPr>
                <w:sz w:val="1"/>
                <w:szCs w:val="1"/>
                <w:color w:val="auto"/>
              </w:rPr>
            </w:pPr>
          </w:p>
        </w:tc>
      </w:tr>
      <w:tr>
        <w:trPr>
          <w:trHeight w:val="215"/>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May</w:t>
            </w:r>
          </w:p>
        </w:tc>
        <w:tc>
          <w:tcPr>
            <w:tcW w:w="720" w:type="dxa"/>
            <w:vAlign w:val="bottom"/>
          </w:tcPr>
          <w:p>
            <w:pPr>
              <w:ind w:left="60"/>
              <w:spacing w:after="0"/>
              <w:rPr>
                <w:sz w:val="20"/>
                <w:szCs w:val="20"/>
                <w:color w:val="auto"/>
              </w:rPr>
            </w:pPr>
            <w:r>
              <w:rPr>
                <w:rFonts w:ascii="Arial" w:cs="Arial" w:eastAsia="Arial" w:hAnsi="Arial"/>
                <w:sz w:val="18"/>
                <w:szCs w:val="18"/>
                <w:color w:val="auto"/>
              </w:rPr>
              <w:t>7.8439</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7.8487</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7.8499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7.8439</w:t>
            </w:r>
          </w:p>
        </w:tc>
        <w:tc>
          <w:tcPr>
            <w:tcW w:w="0" w:type="dxa"/>
            <w:vAlign w:val="bottom"/>
          </w:tcPr>
          <w:p>
            <w:pPr>
              <w:spacing w:after="0"/>
              <w:rPr>
                <w:sz w:val="1"/>
                <w:szCs w:val="1"/>
                <w:color w:val="auto"/>
              </w:rPr>
            </w:pPr>
          </w:p>
        </w:tc>
      </w:tr>
      <w:tr>
        <w:trPr>
          <w:trHeight w:val="215"/>
        </w:trPr>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7.8463</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7.8471</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7.8492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7.8452</w:t>
            </w:r>
          </w:p>
        </w:tc>
        <w:tc>
          <w:tcPr>
            <w:tcW w:w="0" w:type="dxa"/>
            <w:vAlign w:val="bottom"/>
          </w:tcPr>
          <w:p>
            <w:pPr>
              <w:spacing w:after="0"/>
              <w:rPr>
                <w:sz w:val="1"/>
                <w:szCs w:val="1"/>
                <w:color w:val="auto"/>
              </w:rPr>
            </w:pPr>
          </w:p>
        </w:tc>
      </w:tr>
      <w:tr>
        <w:trPr>
          <w:trHeight w:val="215"/>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July</w:t>
            </w:r>
          </w:p>
        </w:tc>
        <w:tc>
          <w:tcPr>
            <w:tcW w:w="720" w:type="dxa"/>
            <w:vAlign w:val="bottom"/>
          </w:tcPr>
          <w:p>
            <w:pPr>
              <w:ind w:left="60"/>
              <w:spacing w:after="0"/>
              <w:rPr>
                <w:sz w:val="20"/>
                <w:szCs w:val="20"/>
                <w:color w:val="auto"/>
              </w:rPr>
            </w:pPr>
            <w:r>
              <w:rPr>
                <w:rFonts w:ascii="Arial" w:cs="Arial" w:eastAsia="Arial" w:hAnsi="Arial"/>
                <w:sz w:val="18"/>
                <w:szCs w:val="18"/>
                <w:color w:val="auto"/>
              </w:rPr>
              <w:t>7.8484</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7.8477</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7.8493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7.8439</w:t>
            </w:r>
          </w:p>
        </w:tc>
        <w:tc>
          <w:tcPr>
            <w:tcW w:w="0" w:type="dxa"/>
            <w:vAlign w:val="bottom"/>
          </w:tcPr>
          <w:p>
            <w:pPr>
              <w:spacing w:after="0"/>
              <w:rPr>
                <w:sz w:val="1"/>
                <w:szCs w:val="1"/>
                <w:color w:val="auto"/>
              </w:rPr>
            </w:pPr>
          </w:p>
        </w:tc>
      </w:tr>
      <w:tr>
        <w:trPr>
          <w:trHeight w:val="215"/>
        </w:trPr>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7.8486</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7.8492</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7.8499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7.8482</w:t>
            </w:r>
          </w:p>
        </w:tc>
        <w:tc>
          <w:tcPr>
            <w:tcW w:w="0" w:type="dxa"/>
            <w:vAlign w:val="bottom"/>
          </w:tcPr>
          <w:p>
            <w:pPr>
              <w:spacing w:after="0"/>
              <w:rPr>
                <w:sz w:val="1"/>
                <w:szCs w:val="1"/>
                <w:color w:val="auto"/>
              </w:rPr>
            </w:pPr>
          </w:p>
        </w:tc>
      </w:tr>
      <w:tr>
        <w:trPr>
          <w:trHeight w:val="215"/>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September</w:t>
            </w:r>
          </w:p>
        </w:tc>
        <w:tc>
          <w:tcPr>
            <w:tcW w:w="720" w:type="dxa"/>
            <w:vAlign w:val="bottom"/>
          </w:tcPr>
          <w:p>
            <w:pPr>
              <w:ind w:left="60"/>
              <w:spacing w:after="0"/>
              <w:rPr>
                <w:sz w:val="20"/>
                <w:szCs w:val="20"/>
                <w:color w:val="auto"/>
              </w:rPr>
            </w:pPr>
            <w:r>
              <w:rPr>
                <w:rFonts w:ascii="Arial" w:cs="Arial" w:eastAsia="Arial" w:hAnsi="Arial"/>
                <w:sz w:val="18"/>
                <w:szCs w:val="18"/>
                <w:color w:val="auto"/>
              </w:rPr>
              <w:t>7.8259</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7.8364</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7.8496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7.8080</w:t>
            </w:r>
          </w:p>
        </w:tc>
        <w:tc>
          <w:tcPr>
            <w:tcW w:w="0" w:type="dxa"/>
            <w:vAlign w:val="bottom"/>
          </w:tcPr>
          <w:p>
            <w:pPr>
              <w:spacing w:after="0"/>
              <w:rPr>
                <w:sz w:val="1"/>
                <w:szCs w:val="1"/>
                <w:color w:val="auto"/>
              </w:rPr>
            </w:pPr>
          </w:p>
        </w:tc>
      </w:tr>
      <w:tr>
        <w:trPr>
          <w:trHeight w:val="215"/>
        </w:trPr>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(through October 12, 2018)</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7.8357</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7.8343</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7.8373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7.8260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40" w:right="60" w:firstLine="438"/>
        <w:spacing w:after="0" w:line="262" w:lineRule="auto"/>
        <w:rPr>
          <w:sz w:val="20"/>
          <w:szCs w:val="20"/>
          <w:color w:val="auto"/>
        </w:rPr>
      </w:pPr>
      <w:r>
        <w:rPr>
          <w:rFonts w:ascii="Arial" w:cs="Arial" w:eastAsia="Arial" w:hAnsi="Arial"/>
          <w:sz w:val="18"/>
          <w:szCs w:val="18"/>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200"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4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5"/>
              </w:rPr>
              <w:t>Certified Exchange Rate</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64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Period</w:t>
            </w:r>
          </w:p>
        </w:tc>
        <w:tc>
          <w:tcPr>
            <w:tcW w:w="9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7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Low</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64"/>
        </w:trPr>
        <w:tc>
          <w:tcPr>
            <w:tcW w:w="7980" w:type="dxa"/>
            <w:vAlign w:val="bottom"/>
            <w:gridSpan w:val="2"/>
            <w:vMerge w:val="continue"/>
          </w:tcPr>
          <w:p>
            <w:pPr>
              <w:spacing w:after="0"/>
              <w:rPr>
                <w:sz w:val="14"/>
                <w:szCs w:val="14"/>
                <w:color w:val="auto"/>
              </w:rPr>
            </w:pPr>
          </w:p>
        </w:tc>
        <w:tc>
          <w:tcPr>
            <w:tcW w:w="640" w:type="dxa"/>
            <w:vAlign w:val="bottom"/>
          </w:tcPr>
          <w:p>
            <w:pPr>
              <w:ind w:left="160"/>
              <w:spacing w:after="0" w:line="157" w:lineRule="exact"/>
              <w:rPr>
                <w:sz w:val="20"/>
                <w:szCs w:val="20"/>
                <w:color w:val="auto"/>
              </w:rPr>
            </w:pPr>
            <w:r>
              <w:rPr>
                <w:rFonts w:ascii="Arial" w:cs="Arial" w:eastAsia="Arial" w:hAnsi="Arial"/>
                <w:sz w:val="14"/>
                <w:szCs w:val="14"/>
                <w:b w:val="1"/>
                <w:bCs w:val="1"/>
                <w:color w:val="auto"/>
              </w:rPr>
              <w:t>End</w:t>
            </w:r>
          </w:p>
        </w:tc>
        <w:tc>
          <w:tcPr>
            <w:tcW w:w="9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Borders>
              <w:top w:val="single" w:sz="8" w:color="auto"/>
            </w:tcBorders>
          </w:tcPr>
          <w:p>
            <w:pPr>
              <w:spacing w:after="0"/>
              <w:rPr>
                <w:sz w:val="12"/>
                <w:szCs w:val="12"/>
                <w:color w:val="auto"/>
              </w:rPr>
            </w:pPr>
          </w:p>
        </w:tc>
        <w:tc>
          <w:tcPr>
            <w:tcW w:w="75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152"/>
              <w:spacing w:after="0" w:line="148" w:lineRule="exact"/>
              <w:rPr>
                <w:sz w:val="20"/>
                <w:szCs w:val="20"/>
                <w:color w:val="auto"/>
              </w:rPr>
            </w:pPr>
            <w:r>
              <w:rPr>
                <w:rFonts w:ascii="Arial" w:cs="Arial" w:eastAsia="Arial" w:hAnsi="Arial"/>
                <w:sz w:val="14"/>
                <w:szCs w:val="14"/>
                <w:b w:val="1"/>
                <w:bCs w:val="1"/>
                <w:color w:val="auto"/>
              </w:rPr>
              <w:t>(RMB per US$1.00)</w:t>
            </w: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2013</w:t>
            </w:r>
          </w:p>
        </w:tc>
        <w:tc>
          <w:tcPr>
            <w:tcW w:w="7560" w:type="dxa"/>
            <w:vAlign w:val="bottom"/>
            <w:shd w:val="clear" w:color="auto" w:fill="CCEEFF"/>
          </w:tcPr>
          <w:p>
            <w:pPr>
              <w:spacing w:after="0"/>
              <w:rPr>
                <w:sz w:val="18"/>
                <w:szCs w:val="18"/>
                <w:color w:val="auto"/>
              </w:rPr>
            </w:pP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6.0537</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6.1412</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6.2438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6.0537</w:t>
            </w:r>
          </w:p>
        </w:tc>
        <w:tc>
          <w:tcPr>
            <w:tcW w:w="0" w:type="dxa"/>
            <w:vAlign w:val="bottom"/>
          </w:tcPr>
          <w:p>
            <w:pPr>
              <w:spacing w:after="0"/>
              <w:rPr>
                <w:sz w:val="1"/>
                <w:szCs w:val="1"/>
                <w:color w:val="auto"/>
              </w:rPr>
            </w:pPr>
          </w:p>
        </w:tc>
      </w:tr>
      <w:tr>
        <w:trPr>
          <w:trHeight w:val="215"/>
        </w:trPr>
        <w:tc>
          <w:tcPr>
            <w:tcW w:w="420" w:type="dxa"/>
            <w:vAlign w:val="bottom"/>
          </w:tcPr>
          <w:p>
            <w:pPr>
              <w:spacing w:after="0"/>
              <w:rPr>
                <w:sz w:val="20"/>
                <w:szCs w:val="20"/>
                <w:color w:val="auto"/>
              </w:rPr>
            </w:pPr>
            <w:r>
              <w:rPr>
                <w:rFonts w:ascii="Arial" w:cs="Arial" w:eastAsia="Arial" w:hAnsi="Arial"/>
                <w:sz w:val="18"/>
                <w:szCs w:val="18"/>
                <w:color w:val="auto"/>
                <w:w w:val="99"/>
              </w:rPr>
              <w:t>2014</w:t>
            </w:r>
          </w:p>
        </w:tc>
        <w:tc>
          <w:tcPr>
            <w:tcW w:w="756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4"/>
              </w:rPr>
              <w:t>6.2046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6.1620</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6.2591</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6.0402</w:t>
            </w:r>
          </w:p>
        </w:tc>
        <w:tc>
          <w:tcPr>
            <w:tcW w:w="0" w:type="dxa"/>
            <w:vAlign w:val="bottom"/>
          </w:tcPr>
          <w:p>
            <w:pPr>
              <w:spacing w:after="0"/>
              <w:rPr>
                <w:sz w:val="1"/>
                <w:szCs w:val="1"/>
                <w:color w:val="auto"/>
              </w:rPr>
            </w:pPr>
          </w:p>
        </w:tc>
      </w:tr>
      <w:tr>
        <w:trPr>
          <w:trHeight w:val="215"/>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2015</w:t>
            </w:r>
          </w:p>
        </w:tc>
        <w:tc>
          <w:tcPr>
            <w:tcW w:w="7560" w:type="dxa"/>
            <w:vAlign w:val="bottom"/>
            <w:shd w:val="clear" w:color="auto" w:fill="CCEEFF"/>
          </w:tcPr>
          <w:p>
            <w:pPr>
              <w:spacing w:after="0"/>
              <w:rPr>
                <w:sz w:val="18"/>
                <w:szCs w:val="18"/>
                <w:color w:val="auto"/>
              </w:rPr>
            </w:pP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6.4778</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6.2827</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6.4896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6.1870</w:t>
            </w:r>
          </w:p>
        </w:tc>
        <w:tc>
          <w:tcPr>
            <w:tcW w:w="0" w:type="dxa"/>
            <w:vAlign w:val="bottom"/>
          </w:tcPr>
          <w:p>
            <w:pPr>
              <w:spacing w:after="0"/>
              <w:rPr>
                <w:sz w:val="1"/>
                <w:szCs w:val="1"/>
                <w:color w:val="auto"/>
              </w:rPr>
            </w:pPr>
          </w:p>
        </w:tc>
      </w:tr>
      <w:tr>
        <w:trPr>
          <w:trHeight w:val="215"/>
        </w:trPr>
        <w:tc>
          <w:tcPr>
            <w:tcW w:w="420" w:type="dxa"/>
            <w:vAlign w:val="bottom"/>
          </w:tcPr>
          <w:p>
            <w:pPr>
              <w:spacing w:after="0"/>
              <w:rPr>
                <w:sz w:val="20"/>
                <w:szCs w:val="20"/>
                <w:color w:val="auto"/>
              </w:rPr>
            </w:pPr>
            <w:r>
              <w:rPr>
                <w:rFonts w:ascii="Arial" w:cs="Arial" w:eastAsia="Arial" w:hAnsi="Arial"/>
                <w:sz w:val="18"/>
                <w:szCs w:val="18"/>
                <w:color w:val="auto"/>
                <w:w w:val="99"/>
              </w:rPr>
              <w:t>2016</w:t>
            </w:r>
          </w:p>
        </w:tc>
        <w:tc>
          <w:tcPr>
            <w:tcW w:w="756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w w:val="94"/>
              </w:rPr>
              <w:t>6.9430</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6.6549</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6.9580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6.4480</w:t>
            </w:r>
          </w:p>
        </w:tc>
        <w:tc>
          <w:tcPr>
            <w:tcW w:w="0" w:type="dxa"/>
            <w:vAlign w:val="bottom"/>
          </w:tcPr>
          <w:p>
            <w:pPr>
              <w:spacing w:after="0"/>
              <w:rPr>
                <w:sz w:val="1"/>
                <w:szCs w:val="1"/>
                <w:color w:val="auto"/>
              </w:rPr>
            </w:pPr>
          </w:p>
        </w:tc>
      </w:tr>
      <w:tr>
        <w:trPr>
          <w:trHeight w:val="215"/>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2017</w:t>
            </w:r>
          </w:p>
        </w:tc>
        <w:tc>
          <w:tcPr>
            <w:tcW w:w="7560" w:type="dxa"/>
            <w:vAlign w:val="bottom"/>
            <w:shd w:val="clear" w:color="auto" w:fill="CCEEFF"/>
          </w:tcPr>
          <w:p>
            <w:pPr>
              <w:spacing w:after="0"/>
              <w:rPr>
                <w:sz w:val="18"/>
                <w:szCs w:val="18"/>
                <w:color w:val="auto"/>
              </w:rPr>
            </w:pP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6.5063</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6.7350</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6.9575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6.4773</w:t>
            </w:r>
          </w:p>
        </w:tc>
        <w:tc>
          <w:tcPr>
            <w:tcW w:w="0" w:type="dxa"/>
            <w:vAlign w:val="bottom"/>
          </w:tcPr>
          <w:p>
            <w:pPr>
              <w:spacing w:after="0"/>
              <w:rPr>
                <w:sz w:val="1"/>
                <w:szCs w:val="1"/>
                <w:color w:val="auto"/>
              </w:rPr>
            </w:pPr>
          </w:p>
        </w:tc>
      </w:tr>
      <w:tr>
        <w:trPr>
          <w:trHeight w:val="215"/>
        </w:trPr>
        <w:tc>
          <w:tcPr>
            <w:tcW w:w="420" w:type="dxa"/>
            <w:vAlign w:val="bottom"/>
          </w:tcPr>
          <w:p>
            <w:pPr>
              <w:spacing w:after="0"/>
              <w:rPr>
                <w:sz w:val="20"/>
                <w:szCs w:val="20"/>
                <w:color w:val="auto"/>
              </w:rPr>
            </w:pPr>
            <w:r>
              <w:rPr>
                <w:rFonts w:ascii="Arial" w:cs="Arial" w:eastAsia="Arial" w:hAnsi="Arial"/>
                <w:sz w:val="18"/>
                <w:szCs w:val="18"/>
                <w:color w:val="auto"/>
                <w:w w:val="99"/>
              </w:rPr>
              <w:t>2018</w:t>
            </w:r>
          </w:p>
        </w:tc>
        <w:tc>
          <w:tcPr>
            <w:tcW w:w="7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April</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6.3325</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6.2967</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6.3340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6.2655</w:t>
            </w:r>
          </w:p>
        </w:tc>
        <w:tc>
          <w:tcPr>
            <w:tcW w:w="0" w:type="dxa"/>
            <w:vAlign w:val="bottom"/>
          </w:tcPr>
          <w:p>
            <w:pPr>
              <w:spacing w:after="0"/>
              <w:rPr>
                <w:sz w:val="1"/>
                <w:szCs w:val="1"/>
                <w:color w:val="auto"/>
              </w:rPr>
            </w:pPr>
          </w:p>
        </w:tc>
      </w:tr>
      <w:tr>
        <w:trPr>
          <w:trHeight w:val="215"/>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May</w:t>
            </w:r>
          </w:p>
        </w:tc>
        <w:tc>
          <w:tcPr>
            <w:tcW w:w="640" w:type="dxa"/>
            <w:vAlign w:val="bottom"/>
          </w:tcPr>
          <w:p>
            <w:pPr>
              <w:ind w:left="100"/>
              <w:spacing w:after="0"/>
              <w:rPr>
                <w:sz w:val="20"/>
                <w:szCs w:val="20"/>
                <w:color w:val="auto"/>
              </w:rPr>
            </w:pPr>
            <w:r>
              <w:rPr>
                <w:rFonts w:ascii="Arial" w:cs="Arial" w:eastAsia="Arial" w:hAnsi="Arial"/>
                <w:sz w:val="18"/>
                <w:szCs w:val="18"/>
                <w:color w:val="auto"/>
                <w:w w:val="94"/>
              </w:rPr>
              <w:t>6.4096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6.3701</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6.4175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6.3325</w:t>
            </w:r>
          </w:p>
        </w:tc>
        <w:tc>
          <w:tcPr>
            <w:tcW w:w="0" w:type="dxa"/>
            <w:vAlign w:val="bottom"/>
          </w:tcPr>
          <w:p>
            <w:pPr>
              <w:spacing w:after="0"/>
              <w:rPr>
                <w:sz w:val="1"/>
                <w:szCs w:val="1"/>
                <w:color w:val="auto"/>
              </w:rPr>
            </w:pPr>
          </w:p>
        </w:tc>
      </w:tr>
      <w:tr>
        <w:trPr>
          <w:trHeight w:val="215"/>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6.6171</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6.4651</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6.6235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6.3850</w:t>
            </w:r>
          </w:p>
        </w:tc>
        <w:tc>
          <w:tcPr>
            <w:tcW w:w="0" w:type="dxa"/>
            <w:vAlign w:val="bottom"/>
          </w:tcPr>
          <w:p>
            <w:pPr>
              <w:spacing w:after="0"/>
              <w:rPr>
                <w:sz w:val="1"/>
                <w:szCs w:val="1"/>
                <w:color w:val="auto"/>
              </w:rPr>
            </w:pPr>
          </w:p>
        </w:tc>
      </w:tr>
      <w:tr>
        <w:trPr>
          <w:trHeight w:val="215"/>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July</w:t>
            </w:r>
          </w:p>
        </w:tc>
        <w:tc>
          <w:tcPr>
            <w:tcW w:w="640" w:type="dxa"/>
            <w:vAlign w:val="bottom"/>
          </w:tcPr>
          <w:p>
            <w:pPr>
              <w:ind w:left="100"/>
              <w:spacing w:after="0"/>
              <w:rPr>
                <w:sz w:val="20"/>
                <w:szCs w:val="20"/>
                <w:color w:val="auto"/>
              </w:rPr>
            </w:pPr>
            <w:r>
              <w:rPr>
                <w:rFonts w:ascii="Arial" w:cs="Arial" w:eastAsia="Arial" w:hAnsi="Arial"/>
                <w:sz w:val="18"/>
                <w:szCs w:val="18"/>
                <w:color w:val="auto"/>
                <w:w w:val="94"/>
              </w:rPr>
              <w:t>6.8038</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6.7164</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6.8102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6.6123</w:t>
            </w:r>
          </w:p>
        </w:tc>
        <w:tc>
          <w:tcPr>
            <w:tcW w:w="0" w:type="dxa"/>
            <w:vAlign w:val="bottom"/>
          </w:tcPr>
          <w:p>
            <w:pPr>
              <w:spacing w:after="0"/>
              <w:rPr>
                <w:sz w:val="1"/>
                <w:szCs w:val="1"/>
                <w:color w:val="auto"/>
              </w:rPr>
            </w:pPr>
          </w:p>
        </w:tc>
      </w:tr>
      <w:tr>
        <w:trPr>
          <w:trHeight w:val="215"/>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6.8300</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6.8453</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6.9330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6.8018</w:t>
            </w:r>
          </w:p>
        </w:tc>
        <w:tc>
          <w:tcPr>
            <w:tcW w:w="0" w:type="dxa"/>
            <w:vAlign w:val="bottom"/>
          </w:tcPr>
          <w:p>
            <w:pPr>
              <w:spacing w:after="0"/>
              <w:rPr>
                <w:sz w:val="1"/>
                <w:szCs w:val="1"/>
                <w:color w:val="auto"/>
              </w:rPr>
            </w:pPr>
          </w:p>
        </w:tc>
      </w:tr>
      <w:tr>
        <w:trPr>
          <w:trHeight w:val="215"/>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September</w:t>
            </w:r>
          </w:p>
        </w:tc>
        <w:tc>
          <w:tcPr>
            <w:tcW w:w="640" w:type="dxa"/>
            <w:vAlign w:val="bottom"/>
          </w:tcPr>
          <w:p>
            <w:pPr>
              <w:ind w:left="100"/>
              <w:spacing w:after="0"/>
              <w:rPr>
                <w:sz w:val="20"/>
                <w:szCs w:val="20"/>
                <w:color w:val="auto"/>
              </w:rPr>
            </w:pPr>
            <w:r>
              <w:rPr>
                <w:rFonts w:ascii="Arial" w:cs="Arial" w:eastAsia="Arial" w:hAnsi="Arial"/>
                <w:sz w:val="18"/>
                <w:szCs w:val="18"/>
                <w:color w:val="auto"/>
                <w:w w:val="94"/>
              </w:rPr>
              <w:t>6.8680</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6.8551</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6.8880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6.8270</w:t>
            </w:r>
          </w:p>
        </w:tc>
        <w:tc>
          <w:tcPr>
            <w:tcW w:w="0" w:type="dxa"/>
            <w:vAlign w:val="bottom"/>
          </w:tcPr>
          <w:p>
            <w:pPr>
              <w:spacing w:after="0"/>
              <w:rPr>
                <w:sz w:val="1"/>
                <w:szCs w:val="1"/>
                <w:color w:val="auto"/>
              </w:rPr>
            </w:pPr>
          </w:p>
        </w:tc>
      </w:tr>
      <w:tr>
        <w:trPr>
          <w:trHeight w:val="215"/>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(through October 12, 2018)</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6.9182</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6.8878</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6.9224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85090</wp:posOffset>
            </wp:positionV>
            <wp:extent cx="6991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Source: Federal Reserve Statistical Release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Note:</w:t>
      </w:r>
    </w:p>
    <w:p>
      <w:pPr>
        <w:ind w:left="560" w:right="140" w:hanging="324"/>
        <w:spacing w:after="0" w:line="236" w:lineRule="auto"/>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Annual averages are calculated by using the average of the exchange rates on the last day of each month during the relevant year. Monthly averages are calculated by using the average of the daily rates during the relevant month.</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7"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7" w:lineRule="exact"/>
        <w:rPr>
          <w:sz w:val="20"/>
          <w:szCs w:val="20"/>
          <w:color w:val="auto"/>
        </w:rPr>
      </w:pPr>
    </w:p>
    <w:p>
      <w:pPr>
        <w:ind w:left="240" w:right="80" w:firstLine="438"/>
        <w:spacing w:after="0" w:line="295" w:lineRule="auto"/>
        <w:rPr>
          <w:sz w:val="20"/>
          <w:szCs w:val="20"/>
          <w:color w:val="auto"/>
        </w:rPr>
      </w:pPr>
      <w:r>
        <w:rPr>
          <w:rFonts w:ascii="Arial" w:cs="Arial" w:eastAsia="Arial" w:hAnsi="Arial"/>
          <w:sz w:val="16"/>
          <w:szCs w:val="16"/>
          <w:color w:val="auto"/>
        </w:rPr>
        <w:t>We are incorporated under the laws of the Cayman Islands as an exempted company with limited liability. We are incorporated in the Cayman Islands because of certain benefits associated with being a Cayman Islands exempted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than the United States and provides less protection for investors. In addition, Cayman Islands companies do not have standing to sue before the federal courts of the United States.</w:t>
      </w:r>
    </w:p>
    <w:p>
      <w:pPr>
        <w:spacing w:after="0" w:line="158" w:lineRule="exact"/>
        <w:rPr>
          <w:sz w:val="20"/>
          <w:szCs w:val="20"/>
          <w:color w:val="auto"/>
        </w:rPr>
      </w:pPr>
    </w:p>
    <w:p>
      <w:pPr>
        <w:ind w:left="240" w:right="300" w:firstLine="438"/>
        <w:spacing w:after="0" w:line="275"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executive officers, directors and shareholders, be subject to arbitration.]</w:t>
      </w:r>
    </w:p>
    <w:p>
      <w:pPr>
        <w:spacing w:after="0" w:line="170"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Substantially all of our assets are located outside the United States. In addition, most of our directors and officers are nationals or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officers and directors.</w:t>
      </w:r>
    </w:p>
    <w:p>
      <w:pPr>
        <w:spacing w:after="0" w:line="190" w:lineRule="exact"/>
        <w:rPr>
          <w:sz w:val="20"/>
          <w:szCs w:val="20"/>
          <w:color w:val="auto"/>
        </w:rPr>
      </w:pPr>
    </w:p>
    <w:p>
      <w:pPr>
        <w:ind w:left="240" w:right="20" w:firstLine="438"/>
        <w:spacing w:after="0" w:line="257" w:lineRule="auto"/>
        <w:rPr>
          <w:sz w:val="20"/>
          <w:szCs w:val="20"/>
          <w:color w:val="auto"/>
        </w:rPr>
      </w:pPr>
      <w:r>
        <w:rPr>
          <w:rFonts w:ascii="Arial" w:cs="Arial" w:eastAsia="Arial" w:hAnsi="Arial"/>
          <w:sz w:val="18"/>
          <w:szCs w:val="18"/>
          <w:color w:val="auto"/>
        </w:rPr>
        <w:t>We have appointed as our agent to receive service of process with respect to any action brought against us in the U.S. District Court for the Southern District of New York in connection with this offering under the federal securities laws of the United States or the securities laws of any State in the United States or any action brought against us in the Supreme Court of the State of New York in the County of New York in connection with this offering under the securities laws of the State of New York.</w:t>
      </w:r>
    </w:p>
    <w:p>
      <w:pPr>
        <w:spacing w:after="0" w:line="188" w:lineRule="exact"/>
        <w:rPr>
          <w:sz w:val="20"/>
          <w:szCs w:val="20"/>
          <w:color w:val="auto"/>
        </w:rPr>
      </w:pPr>
    </w:p>
    <w:p>
      <w:pPr>
        <w:ind w:left="1300" w:hanging="89"/>
        <w:spacing w:after="0"/>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our counsel as to Cayman Islands law, has advised us that there is uncertainty as to whether the courts of the Cayman Islands would</w:t>
      </w:r>
    </w:p>
    <w:p>
      <w:pPr>
        <w:spacing w:after="0" w:line="45" w:lineRule="exact"/>
        <w:rPr>
          <w:rFonts w:ascii="Arial" w:cs="Arial" w:eastAsia="Arial" w:hAnsi="Arial"/>
          <w:sz w:val="16"/>
          <w:szCs w:val="16"/>
          <w:color w:val="auto"/>
        </w:rPr>
      </w:pPr>
    </w:p>
    <w:p>
      <w:pPr>
        <w:ind w:left="240" w:right="60" w:hanging="4"/>
        <w:spacing w:after="0" w:line="252" w:lineRule="auto"/>
        <w:tabs>
          <w:tab w:leader="none" w:pos="4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recognize or enforce judgments of U.S. courts obtained against us or our directors or officers that are predicated upon the civil liability provisions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w:t>
      </w:r>
    </w:p>
    <w:p>
      <w:pPr>
        <w:spacing w:after="0" w:line="190" w:lineRule="exact"/>
        <w:rPr>
          <w:sz w:val="20"/>
          <w:szCs w:val="20"/>
          <w:color w:val="auto"/>
        </w:rPr>
      </w:pPr>
    </w:p>
    <w:p>
      <w:pPr>
        <w:ind w:left="240" w:firstLine="1020"/>
        <w:spacing w:after="0" w:line="286" w:lineRule="auto"/>
        <w:rPr>
          <w:sz w:val="20"/>
          <w:szCs w:val="20"/>
          <w:color w:val="auto"/>
        </w:rPr>
      </w:pPr>
      <w:r>
        <w:rPr>
          <w:rFonts w:ascii="Arial" w:cs="Arial" w:eastAsia="Arial" w:hAnsi="Arial"/>
          <w:sz w:val="16"/>
          <w:szCs w:val="16"/>
          <w:color w:val="auto"/>
        </w:rPr>
        <w:t xml:space="preserve">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w:t>
      </w:r>
      <w:r>
        <w:rPr>
          <w:rFonts w:ascii="Arial" w:cs="Arial" w:eastAsia="Arial" w:hAnsi="Arial"/>
          <w:sz w:val="16"/>
          <w:szCs w:val="16"/>
          <w:i w:val="1"/>
          <w:iCs w:val="1"/>
          <w:color w:val="auto"/>
        </w:rPr>
        <w:t xml:space="preserve">in personam </w:t>
      </w:r>
      <w:r>
        <w:rPr>
          <w:rFonts w:ascii="Arial" w:cs="Arial" w:eastAsia="Arial" w:hAnsi="Arial"/>
          <w:sz w:val="16"/>
          <w:szCs w:val="16"/>
          <w:color w:val="auto"/>
        </w:rPr>
        <w:t>obtained in such jurisdiction will be recognized and enforced in the courts of the Cayman Islands at common law, without any</w:t>
      </w:r>
      <w:r>
        <w:rPr>
          <w:rFonts w:ascii="Arial" w:cs="Arial" w:eastAsia="Arial" w:hAnsi="Arial"/>
          <w:sz w:val="16"/>
          <w:szCs w:val="16"/>
          <w:i w:val="1"/>
          <w:iCs w:val="1"/>
          <w:color w:val="auto"/>
        </w:rPr>
        <w:t xml:space="preserve"> </w:t>
      </w:r>
      <w:r>
        <w:rPr>
          <w:rFonts w:ascii="Arial" w:cs="Arial" w:eastAsia="Arial" w:hAnsi="Arial"/>
          <w:sz w:val="16"/>
          <w:szCs w:val="16"/>
          <w:color w:val="auto"/>
        </w:rPr>
        <w:t>re-examination of the merits of the underlying dispute, by an action commenced on the foreign judgment debt in the Grand Court of the Cayman Islands, provided such judgment (i) is given by a competent foreign court with jurisdiction to give the judgment, (ii) imposes a specific positive obligation on the judgment debtor (such as an obligation to pay a liquidated sum or perform a specified obligation), (iii) is final and conclusive, (iv) 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7"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40" w:firstLine="438"/>
        <w:spacing w:after="0" w:line="277" w:lineRule="auto"/>
        <w:rPr>
          <w:sz w:val="20"/>
          <w:szCs w:val="20"/>
          <w:color w:val="auto"/>
        </w:rPr>
      </w:pPr>
      <w:r>
        <w:rPr>
          <w:rFonts w:ascii="Arial" w:cs="Arial" w:eastAsia="Arial" w:hAnsi="Arial"/>
          <w:sz w:val="17"/>
          <w:szCs w:val="17"/>
          <w:color w:val="auto"/>
        </w:rPr>
        <w:t>CM Law Firm, our counsel as to PRC law, has advised us that there is uncertainty as to whether the courts of China would (1) recognize or enforce judgments of United States courts obtained against us or our directors or officers predicated upon the civil liability provisions of the securities laws of the United States or any state in the United States, or (2) entertain original actions brought in each respective jurisdiction against us or our directors or officers predicated upon the securities laws of the United States or any state in the United States.</w:t>
      </w:r>
    </w:p>
    <w:p>
      <w:pPr>
        <w:spacing w:after="0" w:line="172" w:lineRule="exact"/>
        <w:rPr>
          <w:sz w:val="20"/>
          <w:szCs w:val="20"/>
          <w:color w:val="auto"/>
        </w:rPr>
      </w:pPr>
    </w:p>
    <w:p>
      <w:pPr>
        <w:ind w:left="240" w:firstLine="438"/>
        <w:spacing w:after="0" w:line="286" w:lineRule="auto"/>
        <w:rPr>
          <w:sz w:val="20"/>
          <w:szCs w:val="20"/>
          <w:color w:val="auto"/>
        </w:rPr>
      </w:pPr>
      <w:r>
        <w:rPr>
          <w:rFonts w:ascii="Arial" w:cs="Arial" w:eastAsia="Arial" w:hAnsi="Arial"/>
          <w:sz w:val="16"/>
          <w:szCs w:val="16"/>
          <w:color w:val="auto"/>
        </w:rPr>
        <w:t>CM Law Firm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71" w:lineRule="exact"/>
        <w:rPr>
          <w:sz w:val="20"/>
          <w:szCs w:val="20"/>
          <w:color w:val="auto"/>
        </w:rPr>
      </w:pPr>
    </w:p>
    <w:p>
      <w:pPr>
        <w:ind w:left="240" w:right="60" w:firstLine="438"/>
        <w:spacing w:after="0" w:line="284" w:lineRule="auto"/>
        <w:rPr>
          <w:sz w:val="20"/>
          <w:szCs w:val="20"/>
          <w:color w:val="auto"/>
        </w:rPr>
      </w:pPr>
      <w:r>
        <w:rPr>
          <w:rFonts w:ascii="Arial" w:cs="Arial" w:eastAsia="Arial" w:hAnsi="Arial"/>
          <w:sz w:val="17"/>
          <w:szCs w:val="17"/>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our ADSs or ordinary shares, to establish a connection to China for a PRC court to have jurisdiction as required under the PRC Civil Procedures Law.</w:t>
      </w:r>
    </w:p>
    <w:p>
      <w:pPr>
        <w:spacing w:after="0" w:line="165"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240" w:top="457" w:right="5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CORPORATE HISTORY AND STRUCTURE</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History</w:t>
      </w:r>
    </w:p>
    <w:p>
      <w:pPr>
        <w:spacing w:after="0" w:line="119" w:lineRule="exact"/>
        <w:rPr>
          <w:sz w:val="20"/>
          <w:szCs w:val="20"/>
          <w:color w:val="auto"/>
        </w:rPr>
      </w:pPr>
    </w:p>
    <w:p>
      <w:pPr>
        <w:ind w:left="240" w:right="300" w:firstLine="438"/>
        <w:spacing w:after="0" w:line="275" w:lineRule="auto"/>
        <w:rPr>
          <w:sz w:val="20"/>
          <w:szCs w:val="20"/>
          <w:color w:val="auto"/>
        </w:rPr>
      </w:pPr>
      <w:r>
        <w:rPr>
          <w:rFonts w:ascii="Arial" w:cs="Arial" w:eastAsia="Arial" w:hAnsi="Arial"/>
          <w:sz w:val="18"/>
          <w:szCs w:val="18"/>
          <w:color w:val="auto"/>
        </w:rPr>
        <w:t>We commenced our operations in December 2007 through Shenzhen Futu Network Technology Co., Ltd., or Shenzhen Futu, a limited liability company established under the laws of the PRC, to provide internet technology and software development services.</w:t>
      </w:r>
    </w:p>
    <w:p>
      <w:pPr>
        <w:spacing w:after="0" w:line="170"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color w:val="auto"/>
        </w:rPr>
        <w:t>Futu Securities International (Hong Kong) Limited, or Futu International Hong Kong, was incorporated under the laws of Hong Kong by Mr. Leaf Hua Li, our founder, chairman and chief executive officer in April 2012. In October 2012, Futu International Hong Kong became a securities dealer registered with the HK SFC by obtaining a Type 1 License for dealing in securities. Futu International Hong Kong obtained a Type 2 License for dealing in future contracts, a Type 4 License for advising on securities, a Type 9 License for asset management and a Type 5 License for advising on future contracts from the HK SFC subsequently in July 2013, June 2015, July 2015 and August 2018, respectively. In October 2014, Mr. Li transferred all of Futu International Hong Kong’s shares to Futu Holdings Limited, or Futu Holdings, our holding company. Futu International Hong Kong established two wholly-owned PRC subsidiaries, Shenzhen Shidai Futu Consulting Limited, or Shenzhen Shidai, and Shenzhen Qianhai Fuzhitu Investment Consulting Management Limited, or Shenzhen Qianhai, in May 2015 and August 2015, respectively. As of the date of this prospectus, we conduct most aspects of our operations through Futu International Hong Kong in Hong Kong.</w:t>
      </w:r>
    </w:p>
    <w:p>
      <w:pPr>
        <w:spacing w:after="0" w:line="184" w:lineRule="exact"/>
        <w:rPr>
          <w:sz w:val="20"/>
          <w:szCs w:val="20"/>
          <w:color w:val="auto"/>
        </w:rPr>
      </w:pPr>
    </w:p>
    <w:p>
      <w:pPr>
        <w:ind w:left="240" w:right="60" w:firstLine="438"/>
        <w:spacing w:after="0" w:line="267" w:lineRule="auto"/>
        <w:rPr>
          <w:sz w:val="20"/>
          <w:szCs w:val="20"/>
          <w:color w:val="auto"/>
        </w:rPr>
      </w:pPr>
      <w:r>
        <w:rPr>
          <w:rFonts w:ascii="Arial" w:cs="Arial" w:eastAsia="Arial" w:hAnsi="Arial"/>
          <w:sz w:val="17"/>
          <w:szCs w:val="17"/>
          <w:color w:val="auto"/>
        </w:rPr>
        <w:t>In April 2014, Futu Holdings was incorporated under the laws of the Cayman Islands as our holding company. In May 2014, Futu Securities (Hong Kong) Limited, or Futu Hong Kong, was incorporated under the laws of in Hong Kong as a wholly-owned subsidiary of Futu Holdings. Futu Hong Kong established two wholly-owned PRC subsidiaries, Shensi Network Technology (Beijing) Co., Ltd., or Shensi Beijing, and Futu Network Technology (Shenzhen) Co., Ltd., in September 2014 and October 2015, respectively, which, together with Shenzhen Shidai and Shenzhen Qianhai, are referred to as our PRC WFOEs in this prospectus. Due to restrictions imposed by PRC laws and regulations on foreign ownership of companies that engage in internet and other related business, Shensi Beijing later entered into a series of contractual arrangements with Shenzhen Futu, which we refer to as our VIE in this prospectus, and its shareholders. For more details, see “Corporate History and Structure—Contractual Arrangements with Our VIE and Its Shareholders.” As a result of our direct ownership in our PRC WFOEs and the VIE contractual arrangements, we are regarded as the primary beneficiary of our VIE. We treated our VIE and its subsidiary as our consolidated affiliated entities under U.S. GAAP, and have consolidated the financial results of these entities in our consolidated financial statements in accordance with U.S. GAAP. For the years ended December 31, 2016 and 2017, we generated 2.9% and 1.5% of our total revenues through our VIE in China, respectively, whose assets accounted for 0.7% and 0.2% of our total assets during the same years, respectively.</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7"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diagram illustrates our corporate structure, including our significant subsidiaries and our VIE,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182245</wp:posOffset>
            </wp:positionV>
            <wp:extent cx="6062345" cy="3342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62345" cy="334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Note:</w:t>
      </w:r>
    </w:p>
    <w:p>
      <w:pPr>
        <w:ind w:left="560" w:hanging="324"/>
        <w:spacing w:after="0" w:line="236" w:lineRule="auto"/>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Leaf Hua Li and Ms. Lei Li are beneficiary owners of our company and hold 85% and 15% equity interests in Shenzhen Futu, respectively. Mr. Li is the founder, chairman and chief executive officer of our company and Ms. Li is Mr. Li’s spouse.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Arrangements with Our VIE and Its Shareholders</w:t>
      </w:r>
    </w:p>
    <w:p>
      <w:pPr>
        <w:spacing w:after="0" w:line="119" w:lineRule="exact"/>
        <w:rPr>
          <w:sz w:val="20"/>
          <w:szCs w:val="20"/>
          <w:color w:val="auto"/>
        </w:rPr>
      </w:pPr>
    </w:p>
    <w:p>
      <w:pPr>
        <w:ind w:left="240" w:right="40" w:firstLine="438"/>
        <w:spacing w:after="0" w:line="257" w:lineRule="auto"/>
        <w:rPr>
          <w:sz w:val="20"/>
          <w:szCs w:val="20"/>
          <w:color w:val="auto"/>
        </w:rPr>
      </w:pPr>
      <w:r>
        <w:rPr>
          <w:rFonts w:ascii="Arial" w:cs="Arial" w:eastAsia="Arial" w:hAnsi="Arial"/>
          <w:sz w:val="18"/>
          <w:szCs w:val="18"/>
          <w:color w:val="auto"/>
        </w:rPr>
        <w:t>The following is a summary of the currently effective contractual arrangements by and among our wholly-owned PRC subsidiary, Shensi Beijing, our VIE, Shenzhen Futu, and the shareholders of Shenzhen Futu. These contractual arrangements enable us to (i) exercise effective control over our VIE; (ii) receive substantially all of the economic benefits of our VIE; and (iii) have an exclusive option to purchase all or part of the equity interests in and/or assets of our VIE when and to the extent permitted by PRC laws.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that provide us effective control over our VIE</w:t>
      </w:r>
    </w:p>
    <w:p>
      <w:pPr>
        <w:spacing w:after="0" w:line="115"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b w:val="1"/>
          <w:bCs w:val="1"/>
          <w:i w:val="1"/>
          <w:iCs w:val="1"/>
          <w:color w:val="auto"/>
        </w:rPr>
        <w:t xml:space="preserve">Shareholders’ Voting Rights Proxy Agreement. </w:t>
      </w:r>
      <w:r>
        <w:rPr>
          <w:rFonts w:ascii="Arial" w:cs="Arial" w:eastAsia="Arial" w:hAnsi="Arial"/>
          <w:sz w:val="17"/>
          <w:szCs w:val="17"/>
          <w:color w:val="auto"/>
        </w:rPr>
        <w:t>Pursuant to the shareholders’ voting rights proxy agreement entered into in October 2014,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amended and restated in May 2015 and further amended and restated in September 2018, by and among Shensi Beijing, Shenzhen Futu and each of the shareholders of Shenzhen Futu, each shareholder of Shenzhen Futu irrevocably authorized Shensi Beijing to exercise such shareholder’s rights in Shenzhen Futu, including without limitation, the power to participate in and vote at shareholder’s meetings, the power to nominate and appoint the directors, senior management, and other shareholders’ voting rights permitted by the Articles of Association of Shenzhen Futu. The shareholders’ voting rights proxy agreement remains irrevocable and continuously valid from the date of execution until the expiration of the business term of Shensi Beijing and can be renewed upon request by Shensi Beijing.</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60"/>
          </w:cols>
          <w:pgMar w:left="240" w:top="458"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firstLine="438"/>
        <w:spacing w:after="0" w:line="253" w:lineRule="auto"/>
        <w:rPr>
          <w:sz w:val="20"/>
          <w:szCs w:val="20"/>
          <w:color w:val="auto"/>
        </w:rPr>
      </w:pPr>
      <w:r>
        <w:rPr>
          <w:rFonts w:ascii="Arial" w:cs="Arial" w:eastAsia="Arial" w:hAnsi="Arial"/>
          <w:sz w:val="18"/>
          <w:szCs w:val="18"/>
          <w:b w:val="1"/>
          <w:bCs w:val="1"/>
          <w:i w:val="1"/>
          <w:iCs w:val="1"/>
          <w:color w:val="auto"/>
        </w:rPr>
        <w:t xml:space="preserve">Business Operation Agreement. </w:t>
      </w:r>
      <w:r>
        <w:rPr>
          <w:rFonts w:ascii="Arial" w:cs="Arial" w:eastAsia="Arial" w:hAnsi="Arial"/>
          <w:sz w:val="18"/>
          <w:szCs w:val="18"/>
          <w:color w:val="auto"/>
        </w:rPr>
        <w:t>Pursuant to the business operation agreement entered into in October 2014, and amended and restated in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and further amended and restated in September 2018 by and among Shensi Beijing, Shenzhen Futu and each of the shareholders of Shenzhen Futu, Shenzhen Futu and its shareholders undertake that without Shensi Beijing’s prior written consent, Shenzhen Futu shall not enter into any transactions that may have a material effect on Shenzhen Futu’s assets, business, personnel, obligations, rights or business operations. Shenzhen Futu and its shareholders shall elect directors nominated by Shensi Beijing and such directors shall nominate officers designated by Shensi Beijing. The business operation agreement will remain effective until the end of Shensi Beijing’s business term, which will be extended if Shensi Beijing’s business term is extended or as required by Shensi Beijing.</w:t>
      </w:r>
    </w:p>
    <w:p>
      <w:pPr>
        <w:spacing w:after="0" w:line="191" w:lineRule="exact"/>
        <w:rPr>
          <w:sz w:val="20"/>
          <w:szCs w:val="20"/>
          <w:color w:val="auto"/>
        </w:rPr>
      </w:pPr>
    </w:p>
    <w:p>
      <w:pPr>
        <w:ind w:left="240" w:firstLine="438"/>
        <w:spacing w:after="0" w:line="290" w:lineRule="auto"/>
        <w:rPr>
          <w:sz w:val="20"/>
          <w:szCs w:val="20"/>
          <w:color w:val="auto"/>
        </w:rPr>
      </w:pPr>
      <w:r>
        <w:rPr>
          <w:rFonts w:ascii="Arial" w:cs="Arial" w:eastAsia="Arial" w:hAnsi="Arial"/>
          <w:sz w:val="16"/>
          <w:szCs w:val="16"/>
          <w:b w:val="1"/>
          <w:bCs w:val="1"/>
          <w:i w:val="1"/>
          <w:iCs w:val="1"/>
          <w:color w:val="auto"/>
        </w:rPr>
        <w:t xml:space="preserve">Equity Interest Pledge Agreement. </w:t>
      </w:r>
      <w:r>
        <w:rPr>
          <w:rFonts w:ascii="Arial" w:cs="Arial" w:eastAsia="Arial" w:hAnsi="Arial"/>
          <w:sz w:val="16"/>
          <w:szCs w:val="16"/>
          <w:color w:val="auto"/>
        </w:rPr>
        <w:t>Pursuant to the equity interest pledge agreement entered into in October 2014, and amended and restated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2015 and further amended and restated in September 2018 by and among Shensi Beijing, Shenzhen Futu and each of the shareholders of Shenzhen Futu, each shareholder of Shenzhen Futu agrees that, during the term of the equity interest pledge agreements, he or she will not dispose of the pledged equity interests or create or allow any encumbrance on the pledged equity interests without the prior written consent of Shensi Beijing. The equity interest pledge agreements remain effective until the latter of the full payment of all secured debt under the equity interest pledge agreement and Shenzhen Futu and its shareholders discharge all their obligations under the contractual arrangements. As of the date of this prospectus, each shareholder of Shenzhen Futu is planning to pledge his or her equity interest in Shenzhen Futu to Shensi Beijing.</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that allow us to receive economic benefits from our VIE</w:t>
      </w:r>
    </w:p>
    <w:p>
      <w:pPr>
        <w:spacing w:after="0" w:line="115" w:lineRule="exact"/>
        <w:rPr>
          <w:sz w:val="20"/>
          <w:szCs w:val="20"/>
          <w:color w:val="auto"/>
        </w:rPr>
      </w:pPr>
    </w:p>
    <w:p>
      <w:pPr>
        <w:ind w:left="240" w:right="60" w:firstLine="438"/>
        <w:spacing w:after="0" w:line="269" w:lineRule="auto"/>
        <w:rPr>
          <w:sz w:val="20"/>
          <w:szCs w:val="20"/>
          <w:color w:val="auto"/>
        </w:rPr>
      </w:pPr>
      <w:r>
        <w:rPr>
          <w:rFonts w:ascii="Arial" w:cs="Arial" w:eastAsia="Arial" w:hAnsi="Arial"/>
          <w:sz w:val="17"/>
          <w:szCs w:val="17"/>
          <w:b w:val="1"/>
          <w:bCs w:val="1"/>
          <w:i w:val="1"/>
          <w:iCs w:val="1"/>
          <w:color w:val="auto"/>
        </w:rPr>
        <w:t xml:space="preserve">Exclusive Technology Consulting and Services Agreement. </w:t>
      </w:r>
      <w:r>
        <w:rPr>
          <w:rFonts w:ascii="Arial" w:cs="Arial" w:eastAsia="Arial" w:hAnsi="Arial"/>
          <w:sz w:val="17"/>
          <w:szCs w:val="17"/>
          <w:color w:val="auto"/>
        </w:rPr>
        <w:t>Under the exclusive technology and consulting and services agreement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Shensi Beijing and Shenzhen Futu in October 2014, and amended and restated in May 2015 and further amended and restated in September 2018, Shensi Beijing has the exclusive right to provide Shenzhen Futu with technology consulting and services related to, among other things, technology research and development, technology application and implementation, maintenance of software and hardware. Without Shensi Beijing’s written consent, Shenzhen Futu shall not accept any technology consulting and services covered by this agreement from any third party. Shenzhen Futu agrees to pay a service fee at an amount equivalent to all of its net profit to Shensi Beijing. Unless otherwise terminated in accordance with the terms of this agreement or otherwise agreed by Shensi Beijing, this agreement will remain effective until the expiration of Shensi Beijing’s business term, and will be renewed if Shensi Beijing’s business term is extended.</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that provide us with the option to purchase the equity interests in our VIE</w:t>
      </w:r>
    </w:p>
    <w:p>
      <w:pPr>
        <w:spacing w:after="0" w:line="115" w:lineRule="exact"/>
        <w:rPr>
          <w:sz w:val="20"/>
          <w:szCs w:val="20"/>
          <w:color w:val="auto"/>
        </w:rPr>
      </w:pPr>
    </w:p>
    <w:p>
      <w:pPr>
        <w:ind w:left="240" w:right="20" w:firstLine="438"/>
        <w:spacing w:after="0" w:line="285" w:lineRule="auto"/>
        <w:rPr>
          <w:sz w:val="20"/>
          <w:szCs w:val="20"/>
          <w:color w:val="auto"/>
        </w:rPr>
      </w:pPr>
      <w:r>
        <w:rPr>
          <w:rFonts w:ascii="Arial" w:cs="Arial" w:eastAsia="Arial" w:hAnsi="Arial"/>
          <w:sz w:val="16"/>
          <w:szCs w:val="16"/>
          <w:b w:val="1"/>
          <w:bCs w:val="1"/>
          <w:i w:val="1"/>
          <w:iCs w:val="1"/>
          <w:color w:val="auto"/>
        </w:rPr>
        <w:t xml:space="preserve">Exclusive Option Agreement. </w:t>
      </w:r>
      <w:r>
        <w:rPr>
          <w:rFonts w:ascii="Arial" w:cs="Arial" w:eastAsia="Arial" w:hAnsi="Arial"/>
          <w:sz w:val="16"/>
          <w:szCs w:val="16"/>
          <w:color w:val="auto"/>
        </w:rPr>
        <w:t>Pursuant to the exclusive option agreement entered into in October 2014, and amended and restated in May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further amended and restated in September 2018, by and among Shensi Beijing, Shenzhen Futu and each of the shareholders of Shenzhen Futu, each shareholder of Shenzhen Futu has irrevocably granted Shensi Beijing an exclusive option, to the extent permitted by PRC laws, to purchase, or have its designated person or persons to purchase, at its discretion, all or part of the shareholder’s equity interests in Shenzhen Futu. Unless PRC laws and/or regulations require valuation of the equity interests, the purchase price shall be RMB1.00 or the lowest price permitted by the applicable PRC laws, whoever is higher. Each shareholder of Shenzhen Futu undertakes that, without the prior written consent of Shensi Beijing, he or she will not, among other things, (i) create any pledge or encumbrance on his or her equity interests in Shenzhen Futu, (ii) transfer or otherwise dispose of his or her equity interests in Shenzhen Futu, (iii) change Shenzhen Futu’s registered capital, (iv) amend Shenzhen Futu’s articles of association, (v) liquidate or dissolve Shenzhen Futu, or (vi) distribute dividends to the shareholders of Shenshen Futu. In addition, Shenzhen Futu undertakes that, without the prior written consent of Shensi Beijing, it will not, among other things, dispose of Shenzhen Futu’s material assets, provide any loans to any third parties, enter into any material contract with a value of more than RMB500,000, or create any pledge or encumbrance on any of its assets, or transfer or otherwise dispose of its material assets. Unless otherwise terminated by Shensi Beijing, this agreement will remain effective until the expiration of Shensi Beijing’s business term, and will be renewed if Shensi Beijing’s business term is extended.</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7"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the opinion of CM Law Firm, our PRC legal counsel:</w:t>
      </w:r>
    </w:p>
    <w:p>
      <w:pPr>
        <w:spacing w:after="0" w:line="129" w:lineRule="exact"/>
        <w:rPr>
          <w:sz w:val="20"/>
          <w:szCs w:val="20"/>
          <w:color w:val="auto"/>
        </w:rPr>
      </w:pPr>
    </w:p>
    <w:p>
      <w:pPr>
        <w:ind w:left="660" w:hanging="317"/>
        <w:spacing w:after="0" w:line="27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structures of Shensi Beijing and Shenzhen Futu, both currently and immediately after giving effect to this offering, will not result in any violation of applicable PRC laws or regulations currently in effect; and</w:t>
      </w:r>
    </w:p>
    <w:p>
      <w:pPr>
        <w:spacing w:after="0" w:line="76" w:lineRule="exact"/>
        <w:rPr>
          <w:rFonts w:ascii="Arial" w:cs="Arial" w:eastAsia="Arial" w:hAnsi="Arial"/>
          <w:sz w:val="18"/>
          <w:szCs w:val="18"/>
          <w:color w:val="auto"/>
        </w:rPr>
      </w:pPr>
    </w:p>
    <w:p>
      <w:pPr>
        <w:ind w:left="660" w:right="500" w:hanging="317"/>
        <w:spacing w:after="0" w:line="27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contractual arrangements among Shensi Beijing, Shenzhen Futu and the shareholders of Shenzhen Futu governed by PRC law are valid, binding and enforceable, and will not result in any violation of PRC laws or regulations currently in effect.</w:t>
      </w:r>
    </w:p>
    <w:p>
      <w:pPr>
        <w:spacing w:after="0" w:line="170" w:lineRule="exact"/>
        <w:rPr>
          <w:sz w:val="20"/>
          <w:szCs w:val="20"/>
          <w:color w:val="auto"/>
        </w:rPr>
      </w:pPr>
    </w:p>
    <w:p>
      <w:pPr>
        <w:ind w:left="240" w:right="100" w:firstLine="438"/>
        <w:spacing w:after="0" w:line="286" w:lineRule="auto"/>
        <w:rPr>
          <w:sz w:val="20"/>
          <w:szCs w:val="20"/>
          <w:color w:val="auto"/>
        </w:rPr>
      </w:pPr>
      <w:r>
        <w:rPr>
          <w:rFonts w:ascii="Arial" w:cs="Arial" w:eastAsia="Arial" w:hAnsi="Arial"/>
          <w:sz w:val="16"/>
          <w:szCs w:val="16"/>
          <w:color w:val="auto"/>
        </w:rPr>
        <w:t>However, we have been further advised by our PRC legal counsel that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If the PRC government finds that the agreements that establish the structure for operating our business do not comply with PRC government restrictions on foreign investment in our businesses, we could be subject to severe penalties including being prohibited from continuing operations in China. See “Risk Factors—Risks Related to Our Business and Industry—We rely on contractual arrangements with our VIE and its shareholders to operate a limited part of our business in China, which may not be as effective as direct ownership in providing operational control and otherwise have a material adverse effect as to our business” and “Risk Factors—Risks Related to Doing Business in China—If the PRC government deems that the contractual arrangements in relation to our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240" w:top="457"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7" w:lineRule="exact"/>
        <w:rPr>
          <w:sz w:val="20"/>
          <w:szCs w:val="20"/>
          <w:color w:val="auto"/>
        </w:rPr>
      </w:pPr>
    </w:p>
    <w:p>
      <w:pPr>
        <w:ind w:left="240" w:firstLine="438"/>
        <w:spacing w:after="0" w:line="292" w:lineRule="auto"/>
        <w:rPr>
          <w:sz w:val="20"/>
          <w:szCs w:val="20"/>
          <w:color w:val="auto"/>
        </w:rPr>
      </w:pPr>
      <w:r>
        <w:rPr>
          <w:rFonts w:ascii="Arial" w:cs="Arial" w:eastAsia="Arial" w:hAnsi="Arial"/>
          <w:sz w:val="16"/>
          <w:szCs w:val="16"/>
          <w:color w:val="auto"/>
        </w:rPr>
        <w:t>The following selected consolidated statement of comprehensive loss data for the years ended December 31, 2016 and 2017, selected consolidated balance sheet data as of December 31, 2016 and 2017 and selected consolidated cash flow data for the years ended December 31, 2016 and 2017 have been derived from our audited consolidated financial statements included elsewhere in this prospectus. Our consolidated financial statements are prepared and presented in accordance with U.S. GAAP. Our historical results are not necessarily indicative of results expected for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0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4"/>
                <w:szCs w:val="14"/>
                <w:b w:val="1"/>
                <w:bCs w:val="1"/>
                <w:color w:val="auto"/>
                <w:w w:val="91"/>
              </w:rPr>
              <w:t>For the Year ended 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jc w:val="right"/>
              <w:ind w:right="314"/>
              <w:spacing w:after="0" w:line="141"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380" w:type="dxa"/>
            <w:vAlign w:val="bottom"/>
            <w:gridSpan w:val="2"/>
          </w:tcPr>
          <w:p>
            <w:pPr>
              <w:jc w:val="right"/>
              <w:ind w:right="313"/>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72"/>
              <w:spacing w:after="0" w:line="141"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294"/>
              <w:spacing w:after="0" w:line="141" w:lineRule="exact"/>
              <w:rPr>
                <w:sz w:val="20"/>
                <w:szCs w:val="20"/>
                <w:color w:val="auto"/>
              </w:rPr>
            </w:pPr>
            <w:r>
              <w:rPr>
                <w:rFonts w:ascii="Arial" w:cs="Arial" w:eastAsia="Arial" w:hAnsi="Arial"/>
                <w:sz w:val="14"/>
                <w:szCs w:val="14"/>
                <w:b w:val="1"/>
                <w:bCs w:val="1"/>
                <w:color w:val="auto"/>
              </w:rPr>
              <w:t>HK$</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3"/>
              <w:spacing w:after="0" w:line="141" w:lineRule="exact"/>
              <w:rPr>
                <w:sz w:val="20"/>
                <w:szCs w:val="20"/>
                <w:color w:val="auto"/>
              </w:rPr>
            </w:pPr>
            <w:r>
              <w:rPr>
                <w:rFonts w:ascii="Arial" w:cs="Arial" w:eastAsia="Arial" w:hAnsi="Arial"/>
                <w:sz w:val="14"/>
                <w:szCs w:val="14"/>
                <w:b w:val="1"/>
                <w:bCs w:val="1"/>
                <w:color w:val="auto"/>
              </w:rPr>
              <w:t>HK$</w:t>
            </w:r>
          </w:p>
        </w:tc>
        <w:tc>
          <w:tcPr>
            <w:tcW w:w="36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1"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9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(in thousands, except for</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share and per share data)</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Selected Consolidated Statements of Comprehensive Loss Data :</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Brokerage commission and handling charge income</w:t>
            </w:r>
          </w:p>
        </w:tc>
        <w:tc>
          <w:tcPr>
            <w:tcW w:w="2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74,498</w:t>
            </w:r>
          </w:p>
        </w:tc>
        <w:tc>
          <w:tcPr>
            <w:tcW w:w="1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184,918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23,669</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color w:val="auto"/>
              </w:rPr>
              <w:t>Interest income</w:t>
            </w:r>
          </w:p>
        </w:tc>
        <w:tc>
          <w:tcPr>
            <w:tcW w:w="2260" w:type="dxa"/>
            <w:vAlign w:val="bottom"/>
            <w:gridSpan w:val="3"/>
          </w:tcPr>
          <w:p>
            <w:pPr>
              <w:jc w:val="right"/>
              <w:ind w:right="80"/>
              <w:spacing w:after="0"/>
              <w:rPr>
                <w:sz w:val="20"/>
                <w:szCs w:val="20"/>
                <w:color w:val="auto"/>
              </w:rPr>
            </w:pPr>
            <w:r>
              <w:rPr>
                <w:rFonts w:ascii="Arial" w:cs="Arial" w:eastAsia="Arial" w:hAnsi="Arial"/>
                <w:sz w:val="18"/>
                <w:szCs w:val="18"/>
                <w:color w:val="auto"/>
              </w:rPr>
              <w:t>5,795</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105,872</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13,551</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6,722</w:t>
            </w:r>
          </w:p>
        </w:tc>
        <w:tc>
          <w:tcPr>
            <w:tcW w:w="1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20,873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311,663</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w:t>
            </w:r>
            <w:r>
              <w:rPr>
                <w:rFonts w:ascii="Arial" w:cs="Arial" w:eastAsia="Arial" w:hAnsi="Arial"/>
                <w:sz w:val="15"/>
                <w:szCs w:val="15"/>
                <w:b w:val="1"/>
                <w:bCs w:val="1"/>
                <w:color w:val="auto"/>
              </w:rPr>
              <w:t>(1)</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color w:val="auto"/>
              </w:rPr>
              <w:t>Brokerage commission and handling charge expenses</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(18,730)</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(36,777)</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(3,459)</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(19,879)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color w:val="auto"/>
              </w:rPr>
              <w:t>Processing and servicing costs</w:t>
            </w:r>
          </w:p>
        </w:tc>
        <w:tc>
          <w:tcPr>
            <w:tcW w:w="1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(22,880)</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(52,446)</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w:t>
            </w:r>
          </w:p>
        </w:tc>
        <w:tc>
          <w:tcPr>
            <w:tcW w:w="1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(45,069)</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(109,102)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(13,964)</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b w:val="1"/>
                <w:bCs w:val="1"/>
                <w:color w:val="auto"/>
              </w:rPr>
              <w:t>Total gross profit</w:t>
            </w:r>
          </w:p>
        </w:tc>
        <w:tc>
          <w:tcPr>
            <w:tcW w:w="1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202,561</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(1)</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(61,624)</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(95,526)</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(12,227)</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5"/>
                <w:szCs w:val="15"/>
                <w:color w:val="auto"/>
              </w:rPr>
              <w:t>(1)</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(59,198)</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(41,446)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1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(31,786)</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(57,293)</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(7,333)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(152,608)</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(194,265)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(24,865)</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Others, net</w:t>
            </w:r>
          </w:p>
        </w:tc>
        <w:tc>
          <w:tcPr>
            <w:tcW w:w="11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(Loss)/income before income tax benefit/(expense)</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(111,747)</w:t>
            </w:r>
          </w:p>
        </w:tc>
        <w:tc>
          <w:tcPr>
            <w:tcW w:w="1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3,378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434</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1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(11,480)</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(98,471)</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(8,102)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Preferred shares redemption value accretion</w:t>
            </w:r>
          </w:p>
        </w:tc>
        <w:tc>
          <w:tcPr>
            <w:tcW w:w="1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(47,715)</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(116,400)</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(55,817)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(7,142)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(loss)/income, net of tax</w:t>
            </w:r>
          </w:p>
        </w:tc>
        <w:tc>
          <w:tcPr>
            <w:tcW w:w="1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(4,142)</w:t>
            </w:r>
          </w:p>
        </w:tc>
        <w:tc>
          <w:tcPr>
            <w:tcW w:w="1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3,366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(120,542)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(52,451)</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00" w:type="dxa"/>
            <w:vAlign w:val="bottom"/>
            <w:vMerge w:val="restart"/>
          </w:tcPr>
          <w:p>
            <w:pPr>
              <w:jc w:val="right"/>
              <w:ind w:right="811"/>
              <w:spacing w:after="0"/>
              <w:rPr>
                <w:sz w:val="20"/>
                <w:szCs w:val="20"/>
                <w:color w:val="auto"/>
              </w:rPr>
            </w:pPr>
            <w:r>
              <w:rPr>
                <w:rFonts w:ascii="Arial" w:cs="Arial" w:eastAsia="Arial" w:hAnsi="Arial"/>
                <w:sz w:val="18"/>
                <w:szCs w:val="18"/>
                <w:color w:val="auto"/>
                <w:w w:val="89"/>
              </w:rPr>
              <w:t>71</w:t>
            </w: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9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7"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000" w:type="dxa"/>
            <w:vAlign w:val="bottom"/>
            <w:tcBorders>
              <w:bottom w:val="single" w:sz="8" w:color="auto"/>
            </w:tcBorders>
            <w:gridSpan w:val="10"/>
          </w:tcPr>
          <w:p>
            <w:pPr>
              <w:jc w:val="center"/>
              <w:ind w:left="841"/>
              <w:spacing w:after="0"/>
              <w:rPr>
                <w:sz w:val="20"/>
                <w:szCs w:val="20"/>
                <w:color w:val="auto"/>
              </w:rPr>
            </w:pPr>
            <w:r>
              <w:rPr>
                <w:rFonts w:ascii="Arial" w:cs="Arial" w:eastAsia="Arial" w:hAnsi="Arial"/>
                <w:sz w:val="14"/>
                <w:szCs w:val="14"/>
                <w:b w:val="1"/>
                <w:bCs w:val="1"/>
                <w:color w:val="auto"/>
                <w:w w:val="91"/>
              </w:rPr>
              <w:t>For the Year ended December 31,</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1"/>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tcBorders>
              <w:bottom w:val="single" w:sz="8" w:color="auto"/>
            </w:tcBorders>
          </w:tcPr>
          <w:p>
            <w:pPr>
              <w:ind w:left="400"/>
              <w:spacing w:after="0" w:line="141"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81"/>
              <w:spacing w:after="0" w:line="141"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220"/>
              <w:spacing w:after="0" w:line="14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1"/>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tcBorders>
              <w:bottom w:val="single" w:sz="8" w:color="auto"/>
            </w:tcBorders>
          </w:tcPr>
          <w:p>
            <w:pPr>
              <w:ind w:left="400"/>
              <w:spacing w:after="0" w:line="141" w:lineRule="exact"/>
              <w:rPr>
                <w:sz w:val="20"/>
                <w:szCs w:val="20"/>
                <w:color w:val="auto"/>
              </w:rPr>
            </w:pPr>
            <w:r>
              <w:rPr>
                <w:rFonts w:ascii="Arial" w:cs="Arial" w:eastAsia="Arial" w:hAnsi="Arial"/>
                <w:sz w:val="14"/>
                <w:szCs w:val="14"/>
                <w:b w:val="1"/>
                <w:bCs w:val="1"/>
                <w:color w:val="auto"/>
              </w:rPr>
              <w:t>HK$</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148"/>
              <w:spacing w:after="0" w:line="141" w:lineRule="exact"/>
              <w:rPr>
                <w:sz w:val="20"/>
                <w:szCs w:val="20"/>
                <w:color w:val="auto"/>
              </w:rPr>
            </w:pPr>
            <w:r>
              <w:rPr>
                <w:rFonts w:ascii="Arial" w:cs="Arial" w:eastAsia="Arial" w:hAnsi="Arial"/>
                <w:sz w:val="14"/>
                <w:szCs w:val="14"/>
                <w:b w:val="1"/>
                <w:bCs w:val="1"/>
                <w:color w:val="auto"/>
              </w:rPr>
              <w:t>HK$</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240"/>
              <w:spacing w:after="0" w:line="141"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8"/>
        </w:trPr>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20" w:type="dxa"/>
            <w:vAlign w:val="bottom"/>
            <w:gridSpan w:val="9"/>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(in thousands, except for</w:t>
            </w: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4"/>
        </w:trPr>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2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1"/>
              </w:rPr>
              <w:t>share and per share data)</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5"/>
        </w:trPr>
        <w:tc>
          <w:tcPr>
            <w:tcW w:w="44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Net loss per share attributable to ordinary shareholder of the Company</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44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ind w:right="11"/>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8"/>
                <w:szCs w:val="18"/>
                <w:color w:val="auto"/>
              </w:rPr>
            </w:pPr>
          </w:p>
        </w:tc>
      </w:tr>
      <w:tr>
        <w:trPr>
          <w:trHeight w:val="215"/>
        </w:trPr>
        <w:tc>
          <w:tcPr>
            <w:tcW w:w="44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40" w:type="dxa"/>
            <w:vAlign w:val="bottom"/>
            <w:shd w:val="clear" w:color="auto" w:fill="CCEEFF"/>
          </w:tcPr>
          <w:p>
            <w:pPr>
              <w:spacing w:after="0"/>
              <w:rPr>
                <w:sz w:val="18"/>
                <w:szCs w:val="18"/>
                <w:color w:val="auto"/>
              </w:rPr>
            </w:pPr>
          </w:p>
        </w:tc>
      </w:tr>
      <w:tr>
        <w:trPr>
          <w:trHeight w:val="203"/>
        </w:trPr>
        <w:tc>
          <w:tcPr>
            <w:tcW w:w="440" w:type="dxa"/>
            <w:vAlign w:val="bottom"/>
          </w:tcPr>
          <w:p>
            <w:pPr>
              <w:spacing w:after="0"/>
              <w:rPr>
                <w:sz w:val="17"/>
                <w:szCs w:val="17"/>
                <w:color w:val="auto"/>
              </w:rPr>
            </w:pPr>
          </w:p>
        </w:tc>
        <w:tc>
          <w:tcPr>
            <w:tcW w:w="602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w w:val="95"/>
              </w:rPr>
              <w:t>Weighted average number of ordinary shares used in computing net loss</w:t>
            </w: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3"/>
        </w:trPr>
        <w:tc>
          <w:tcPr>
            <w:tcW w:w="44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 share</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44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403,750,000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403,750,000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403,750,000</w:t>
            </w:r>
          </w:p>
        </w:tc>
        <w:tc>
          <w:tcPr>
            <w:tcW w:w="40" w:type="dxa"/>
            <w:vAlign w:val="bottom"/>
            <w:shd w:val="clear" w:color="auto" w:fill="CCEEFF"/>
          </w:tcPr>
          <w:p>
            <w:pPr>
              <w:spacing w:after="0"/>
              <w:rPr>
                <w:sz w:val="18"/>
                <w:szCs w:val="18"/>
                <w:color w:val="auto"/>
              </w:rPr>
            </w:pPr>
          </w:p>
        </w:tc>
      </w:tr>
      <w:tr>
        <w:trPr>
          <w:trHeight w:val="215"/>
        </w:trPr>
        <w:tc>
          <w:tcPr>
            <w:tcW w:w="44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220" w:type="dxa"/>
            <w:vAlign w:val="bottom"/>
            <w:gridSpan w:val="2"/>
          </w:tcPr>
          <w:p>
            <w:pPr>
              <w:jc w:val="right"/>
              <w:ind w:right="71"/>
              <w:spacing w:after="0"/>
              <w:rPr>
                <w:sz w:val="20"/>
                <w:szCs w:val="20"/>
                <w:color w:val="auto"/>
              </w:rPr>
            </w:pPr>
            <w:r>
              <w:rPr>
                <w:rFonts w:ascii="Arial" w:cs="Arial" w:eastAsia="Arial" w:hAnsi="Arial"/>
                <w:sz w:val="18"/>
                <w:szCs w:val="18"/>
                <w:color w:val="auto"/>
              </w:rPr>
              <w:t>403,750,000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5"/>
              </w:rPr>
              <w:t>403,750,000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403,750,000</w:t>
            </w:r>
          </w:p>
        </w:tc>
        <w:tc>
          <w:tcPr>
            <w:tcW w:w="40" w:type="dxa"/>
            <w:vAlign w:val="bottom"/>
          </w:tcPr>
          <w:p>
            <w:pPr>
              <w:spacing w:after="0"/>
              <w:rPr>
                <w:sz w:val="18"/>
                <w:szCs w:val="18"/>
                <w:color w:val="auto"/>
              </w:rPr>
            </w:pPr>
          </w:p>
        </w:tc>
      </w:tr>
      <w:tr>
        <w:trPr>
          <w:trHeight w:val="141"/>
        </w:trPr>
        <w:tc>
          <w:tcPr>
            <w:tcW w:w="1100" w:type="dxa"/>
            <w:vAlign w:val="bottom"/>
            <w:tcBorders>
              <w:bottom w:val="single" w:sz="8" w:color="auto"/>
            </w:tcBorders>
            <w:gridSpan w:val="2"/>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3"/>
        </w:trPr>
        <w:tc>
          <w:tcPr>
            <w:tcW w:w="6460" w:type="dxa"/>
            <w:vAlign w:val="bottom"/>
            <w:gridSpan w:val="3"/>
          </w:tcPr>
          <w:p>
            <w:pPr>
              <w:spacing w:after="0"/>
              <w:rPr>
                <w:sz w:val="20"/>
                <w:szCs w:val="20"/>
                <w:color w:val="auto"/>
              </w:rPr>
            </w:pPr>
            <w:r>
              <w:rPr>
                <w:rFonts w:ascii="Arial" w:cs="Arial" w:eastAsia="Arial" w:hAnsi="Arial"/>
                <w:sz w:val="14"/>
                <w:szCs w:val="14"/>
                <w:color w:val="auto"/>
              </w:rPr>
              <w:t>Note:</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2"/>
        </w:trPr>
        <w:tc>
          <w:tcPr>
            <w:tcW w:w="6460" w:type="dxa"/>
            <w:vAlign w:val="bottom"/>
            <w:gridSpan w:val="3"/>
          </w:tcPr>
          <w:p>
            <w:pPr>
              <w:spacing w:after="0"/>
              <w:rPr>
                <w:sz w:val="20"/>
                <w:szCs w:val="20"/>
                <w:color w:val="auto"/>
              </w:rPr>
            </w:pPr>
            <w:r>
              <w:rPr>
                <w:rFonts w:ascii="Arial" w:cs="Arial" w:eastAsia="Arial" w:hAnsi="Arial"/>
                <w:sz w:val="14"/>
                <w:szCs w:val="14"/>
                <w:color w:val="auto"/>
              </w:rPr>
              <w:t>(1)  Share-based compensation expenses were allocated as follows:</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74"/>
        </w:trPr>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w w:val="93"/>
              </w:rPr>
              <w:t>For the Year Ended December 31,</w:t>
            </w:r>
          </w:p>
        </w:tc>
      </w:tr>
      <w:tr>
        <w:trPr>
          <w:trHeight w:val="141"/>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1"/>
              <w:spacing w:after="0" w:line="14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1"/>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HK$</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4"/>
          </w:tcPr>
          <w:p>
            <w:pPr>
              <w:jc w:val="center"/>
              <w:ind w:right="200"/>
              <w:spacing w:after="0" w:line="141" w:lineRule="exact"/>
              <w:rPr>
                <w:sz w:val="20"/>
                <w:szCs w:val="20"/>
                <w:color w:val="auto"/>
              </w:rPr>
            </w:pPr>
            <w:r>
              <w:rPr>
                <w:rFonts w:ascii="Arial" w:cs="Arial" w:eastAsia="Arial" w:hAnsi="Arial"/>
                <w:sz w:val="14"/>
                <w:szCs w:val="14"/>
                <w:b w:val="1"/>
                <w:bCs w:val="1"/>
                <w:color w:val="auto"/>
                <w:w w:val="99"/>
              </w:rPr>
              <w:t>HK$</w:t>
            </w: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40"/>
              <w:spacing w:after="0" w:line="141"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r>
      <w:tr>
        <w:trPr>
          <w:trHeight w:val="141"/>
        </w:trPr>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8"/>
          </w:tcPr>
          <w:p>
            <w:pPr>
              <w:jc w:val="center"/>
              <w:ind w:right="380"/>
              <w:spacing w:after="0" w:line="141"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148"/>
        </w:trPr>
        <w:tc>
          <w:tcPr>
            <w:tcW w:w="440" w:type="dxa"/>
            <w:vAlign w:val="bottom"/>
          </w:tcPr>
          <w:p>
            <w:pPr>
              <w:spacing w:after="0"/>
              <w:rPr>
                <w:sz w:val="12"/>
                <w:szCs w:val="12"/>
                <w:color w:val="auto"/>
              </w:rPr>
            </w:pPr>
          </w:p>
        </w:tc>
        <w:tc>
          <w:tcPr>
            <w:tcW w:w="602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Selling and marketing expenses</w:t>
            </w:r>
          </w:p>
        </w:tc>
        <w:tc>
          <w:tcPr>
            <w:tcW w:w="1600" w:type="dxa"/>
            <w:vAlign w:val="bottom"/>
            <w:gridSpan w:val="4"/>
            <w:shd w:val="clear" w:color="auto" w:fill="CCEEFF"/>
          </w:tcPr>
          <w:p>
            <w:pPr>
              <w:jc w:val="right"/>
              <w:spacing w:after="0" w:line="148" w:lineRule="exact"/>
              <w:rPr>
                <w:sz w:val="20"/>
                <w:szCs w:val="20"/>
                <w:color w:val="auto"/>
              </w:rPr>
            </w:pPr>
            <w:r>
              <w:rPr>
                <w:rFonts w:ascii="Arial" w:cs="Arial" w:eastAsia="Arial" w:hAnsi="Arial"/>
                <w:sz w:val="14"/>
                <w:szCs w:val="14"/>
                <w:color w:val="auto"/>
              </w:rPr>
              <w:t>261</w:t>
            </w:r>
          </w:p>
        </w:tc>
        <w:tc>
          <w:tcPr>
            <w:tcW w:w="2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161</w:t>
            </w:r>
          </w:p>
        </w:tc>
        <w:tc>
          <w:tcPr>
            <w:tcW w:w="1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21</w:t>
            </w:r>
          </w:p>
        </w:tc>
      </w:tr>
      <w:tr>
        <w:trPr>
          <w:trHeight w:val="148"/>
        </w:trPr>
        <w:tc>
          <w:tcPr>
            <w:tcW w:w="440" w:type="dxa"/>
            <w:vAlign w:val="bottom"/>
          </w:tcPr>
          <w:p>
            <w:pPr>
              <w:spacing w:after="0"/>
              <w:rPr>
                <w:sz w:val="12"/>
                <w:szCs w:val="12"/>
                <w:color w:val="auto"/>
              </w:rPr>
            </w:pPr>
          </w:p>
        </w:tc>
        <w:tc>
          <w:tcPr>
            <w:tcW w:w="6020" w:type="dxa"/>
            <w:vAlign w:val="bottom"/>
            <w:gridSpan w:val="2"/>
          </w:tcPr>
          <w:p>
            <w:pPr>
              <w:spacing w:after="0" w:line="148" w:lineRule="exact"/>
              <w:rPr>
                <w:sz w:val="20"/>
                <w:szCs w:val="20"/>
                <w:color w:val="auto"/>
              </w:rPr>
            </w:pPr>
            <w:r>
              <w:rPr>
                <w:rFonts w:ascii="Arial" w:cs="Arial" w:eastAsia="Arial" w:hAnsi="Arial"/>
                <w:sz w:val="14"/>
                <w:szCs w:val="14"/>
                <w:color w:val="auto"/>
              </w:rPr>
              <w:t>Research and development expenses</w:t>
            </w:r>
          </w:p>
        </w:tc>
        <w:tc>
          <w:tcPr>
            <w:tcW w:w="1620" w:type="dxa"/>
            <w:vAlign w:val="bottom"/>
            <w:gridSpan w:val="5"/>
          </w:tcPr>
          <w:p>
            <w:pPr>
              <w:jc w:val="right"/>
              <w:ind w:right="20"/>
              <w:spacing w:after="0" w:line="148" w:lineRule="exact"/>
              <w:rPr>
                <w:sz w:val="20"/>
                <w:szCs w:val="20"/>
                <w:color w:val="auto"/>
              </w:rPr>
            </w:pPr>
            <w:r>
              <w:rPr>
                <w:rFonts w:ascii="Arial" w:cs="Arial" w:eastAsia="Arial" w:hAnsi="Arial"/>
                <w:sz w:val="14"/>
                <w:szCs w:val="14"/>
                <w:color w:val="auto"/>
              </w:rPr>
              <w:t>8,335</w:t>
            </w:r>
          </w:p>
        </w:tc>
        <w:tc>
          <w:tcPr>
            <w:tcW w:w="1200" w:type="dxa"/>
            <w:vAlign w:val="bottom"/>
            <w:gridSpan w:val="4"/>
          </w:tcPr>
          <w:p>
            <w:pPr>
              <w:jc w:val="right"/>
              <w:ind w:right="20"/>
              <w:spacing w:after="0" w:line="148" w:lineRule="exact"/>
              <w:rPr>
                <w:sz w:val="20"/>
                <w:szCs w:val="20"/>
                <w:color w:val="auto"/>
              </w:rPr>
            </w:pPr>
            <w:r>
              <w:rPr>
                <w:rFonts w:ascii="Arial" w:cs="Arial" w:eastAsia="Arial" w:hAnsi="Arial"/>
                <w:sz w:val="14"/>
                <w:szCs w:val="14"/>
                <w:color w:val="auto"/>
              </w:rPr>
              <w:t>8,854</w:t>
            </w:r>
          </w:p>
        </w:tc>
        <w:tc>
          <w:tcPr>
            <w:tcW w:w="180" w:type="dxa"/>
            <w:vAlign w:val="bottom"/>
          </w:tcPr>
          <w:p>
            <w:pPr>
              <w:spacing w:after="0"/>
              <w:rPr>
                <w:sz w:val="12"/>
                <w:szCs w:val="12"/>
                <w:color w:val="auto"/>
              </w:rPr>
            </w:pPr>
          </w:p>
        </w:tc>
        <w:tc>
          <w:tcPr>
            <w:tcW w:w="1040" w:type="dxa"/>
            <w:vAlign w:val="bottom"/>
            <w:gridSpan w:val="4"/>
          </w:tcPr>
          <w:p>
            <w:pPr>
              <w:jc w:val="right"/>
              <w:ind w:right="40"/>
              <w:spacing w:after="0" w:line="148" w:lineRule="exact"/>
              <w:rPr>
                <w:sz w:val="20"/>
                <w:szCs w:val="20"/>
                <w:color w:val="auto"/>
              </w:rPr>
            </w:pPr>
            <w:r>
              <w:rPr>
                <w:rFonts w:ascii="Arial" w:cs="Arial" w:eastAsia="Arial" w:hAnsi="Arial"/>
                <w:sz w:val="14"/>
                <w:szCs w:val="14"/>
                <w:color w:val="auto"/>
              </w:rPr>
              <w:t>1,133</w:t>
            </w:r>
          </w:p>
        </w:tc>
      </w:tr>
      <w:tr>
        <w:trPr>
          <w:trHeight w:val="148"/>
        </w:trPr>
        <w:tc>
          <w:tcPr>
            <w:tcW w:w="440" w:type="dxa"/>
            <w:vAlign w:val="bottom"/>
          </w:tcPr>
          <w:p>
            <w:pPr>
              <w:spacing w:after="0"/>
              <w:rPr>
                <w:sz w:val="12"/>
                <w:szCs w:val="12"/>
                <w:color w:val="auto"/>
              </w:rPr>
            </w:pPr>
          </w:p>
        </w:tc>
        <w:tc>
          <w:tcPr>
            <w:tcW w:w="602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General and administrative expenses</w:t>
            </w:r>
          </w:p>
        </w:tc>
        <w:tc>
          <w:tcPr>
            <w:tcW w:w="1600" w:type="dxa"/>
            <w:vAlign w:val="bottom"/>
            <w:gridSpan w:val="4"/>
            <w:shd w:val="clear" w:color="auto" w:fill="CCEEFF"/>
          </w:tcPr>
          <w:p>
            <w:pPr>
              <w:jc w:val="right"/>
              <w:spacing w:after="0" w:line="148" w:lineRule="exact"/>
              <w:rPr>
                <w:sz w:val="20"/>
                <w:szCs w:val="20"/>
                <w:color w:val="auto"/>
              </w:rPr>
            </w:pPr>
            <w:r>
              <w:rPr>
                <w:rFonts w:ascii="Arial" w:cs="Arial" w:eastAsia="Arial" w:hAnsi="Arial"/>
                <w:sz w:val="14"/>
                <w:szCs w:val="14"/>
                <w:color w:val="auto"/>
              </w:rPr>
              <w:t>559</w:t>
            </w:r>
          </w:p>
        </w:tc>
        <w:tc>
          <w:tcPr>
            <w:tcW w:w="2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754</w:t>
            </w:r>
          </w:p>
        </w:tc>
        <w:tc>
          <w:tcPr>
            <w:tcW w:w="1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96</w:t>
            </w:r>
          </w:p>
        </w:tc>
      </w:tr>
      <w:tr>
        <w:trPr>
          <w:trHeight w:val="155"/>
        </w:trPr>
        <w:tc>
          <w:tcPr>
            <w:tcW w:w="440" w:type="dxa"/>
            <w:vAlign w:val="bottom"/>
          </w:tcPr>
          <w:p>
            <w:pPr>
              <w:spacing w:after="0"/>
              <w:rPr>
                <w:sz w:val="13"/>
                <w:szCs w:val="13"/>
                <w:color w:val="auto"/>
              </w:rPr>
            </w:pPr>
          </w:p>
        </w:tc>
        <w:tc>
          <w:tcPr>
            <w:tcW w:w="6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1220" w:type="dxa"/>
            <w:vAlign w:val="bottom"/>
            <w:gridSpan w:val="2"/>
          </w:tcPr>
          <w:p>
            <w:pPr>
              <w:spacing w:after="0"/>
              <w:rPr>
                <w:sz w:val="13"/>
                <w:szCs w:val="13"/>
                <w:color w:val="auto"/>
              </w:rPr>
            </w:pPr>
          </w:p>
        </w:tc>
        <w:tc>
          <w:tcPr>
            <w:tcW w:w="3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9,155</w:t>
            </w:r>
          </w:p>
        </w:tc>
        <w:tc>
          <w:tcPr>
            <w:tcW w:w="2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9,769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1,250</w:t>
            </w:r>
          </w:p>
        </w:tc>
        <w:tc>
          <w:tcPr>
            <w:tcW w:w="40" w:type="dxa"/>
            <w:vAlign w:val="bottom"/>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3"/>
          </w:tcPr>
          <w:p>
            <w:pPr>
              <w:jc w:val="center"/>
              <w:ind w:left="636"/>
              <w:spacing w:after="0"/>
              <w:rPr>
                <w:sz w:val="20"/>
                <w:szCs w:val="20"/>
                <w:color w:val="auto"/>
              </w:rPr>
            </w:pPr>
            <w:r>
              <w:rPr>
                <w:rFonts w:ascii="Arial" w:cs="Arial" w:eastAsia="Arial" w:hAnsi="Arial"/>
                <w:sz w:val="14"/>
                <w:szCs w:val="14"/>
                <w:b w:val="1"/>
                <w:bCs w:val="1"/>
                <w:color w:val="auto"/>
                <w:w w:val="94"/>
              </w:rPr>
              <w:t>Pro Forma</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gridSpan w:val="5"/>
          </w:tcPr>
          <w:p>
            <w:pPr>
              <w:jc w:val="center"/>
              <w:ind w:right="60"/>
              <w:spacing w:after="0" w:line="14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4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4"/>
                <w:szCs w:val="14"/>
                <w:b w:val="1"/>
                <w:bCs w:val="1"/>
                <w:color w:val="auto"/>
                <w:w w:val="95"/>
              </w:rPr>
              <w:t>(Unaudited)</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120" w:type="dxa"/>
            <w:vAlign w:val="bottom"/>
          </w:tcPr>
          <w:p>
            <w:pPr>
              <w:spacing w:after="0"/>
              <w:rPr>
                <w:sz w:val="12"/>
                <w:szCs w:val="12"/>
                <w:color w:val="auto"/>
              </w:rPr>
            </w:pPr>
          </w:p>
        </w:tc>
        <w:tc>
          <w:tcPr>
            <w:tcW w:w="840" w:type="dxa"/>
            <w:vAlign w:val="bottom"/>
          </w:tcPr>
          <w:p>
            <w:pPr>
              <w:jc w:val="right"/>
              <w:ind w:right="193"/>
              <w:spacing w:after="0" w:line="141"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100" w:type="dxa"/>
            <w:vAlign w:val="bottom"/>
            <w:gridSpan w:val="2"/>
          </w:tcPr>
          <w:p>
            <w:pPr>
              <w:jc w:val="right"/>
              <w:ind w:right="256"/>
              <w:spacing w:after="0" w:line="141"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860" w:type="dxa"/>
            <w:vAlign w:val="bottom"/>
          </w:tcPr>
          <w:p>
            <w:pPr>
              <w:jc w:val="right"/>
              <w:ind w:right="194"/>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940" w:type="dxa"/>
            <w:vAlign w:val="bottom"/>
          </w:tcPr>
          <w:p>
            <w:pPr>
              <w:ind w:left="320"/>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13"/>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73"/>
              <w:spacing w:after="0" w:line="141" w:lineRule="exact"/>
              <w:rPr>
                <w:sz w:val="20"/>
                <w:szCs w:val="20"/>
                <w:color w:val="auto"/>
              </w:rPr>
            </w:pPr>
            <w:r>
              <w:rPr>
                <w:rFonts w:ascii="Arial" w:cs="Arial" w:eastAsia="Arial" w:hAnsi="Arial"/>
                <w:sz w:val="14"/>
                <w:szCs w:val="14"/>
                <w:b w:val="1"/>
                <w:bCs w:val="1"/>
                <w:color w:val="auto"/>
              </w:rPr>
              <w:t>HK$</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1" w:lineRule="exact"/>
              <w:rPr>
                <w:sz w:val="20"/>
                <w:szCs w:val="20"/>
                <w:color w:val="auto"/>
              </w:rPr>
            </w:pPr>
            <w:r>
              <w:rPr>
                <w:rFonts w:ascii="Arial" w:cs="Arial" w:eastAsia="Arial" w:hAnsi="Arial"/>
                <w:sz w:val="14"/>
                <w:szCs w:val="14"/>
                <w:b w:val="1"/>
                <w:bCs w:val="1"/>
                <w:color w:val="auto"/>
              </w:rPr>
              <w:t>HK$</w:t>
            </w:r>
          </w:p>
        </w:tc>
        <w:tc>
          <w:tcPr>
            <w:tcW w:w="3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1" w:lineRule="exact"/>
              <w:rPr>
                <w:sz w:val="20"/>
                <w:szCs w:val="20"/>
                <w:color w:val="auto"/>
              </w:rPr>
            </w:pPr>
            <w:r>
              <w:rPr>
                <w:rFonts w:ascii="Arial" w:cs="Arial" w:eastAsia="Arial" w:hAnsi="Arial"/>
                <w:sz w:val="14"/>
                <w:szCs w:val="14"/>
                <w:b w:val="1"/>
                <w:bCs w:val="1"/>
                <w:color w:val="auto"/>
              </w:rPr>
              <w:t>US$</w:t>
            </w:r>
          </w:p>
        </w:tc>
        <w:tc>
          <w:tcPr>
            <w:tcW w:w="36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320"/>
              <w:spacing w:after="0" w:line="141" w:lineRule="exact"/>
              <w:rPr>
                <w:sz w:val="20"/>
                <w:szCs w:val="20"/>
                <w:color w:val="auto"/>
              </w:rPr>
            </w:pPr>
            <w:r>
              <w:rPr>
                <w:rFonts w:ascii="Arial" w:cs="Arial" w:eastAsia="Arial" w:hAnsi="Arial"/>
                <w:sz w:val="14"/>
                <w:szCs w:val="14"/>
                <w:b w:val="1"/>
                <w:bCs w:val="1"/>
                <w:color w:val="auto"/>
              </w:rPr>
              <w:t>HK$</w:t>
            </w:r>
          </w:p>
        </w:tc>
        <w:tc>
          <w:tcPr>
            <w:tcW w:w="36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1"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179,016</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375,263</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48,032</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375,263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48,032</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Cash held on behalf of clients</w:t>
            </w:r>
          </w:p>
        </w:tc>
        <w:tc>
          <w:tcPr>
            <w:tcW w:w="840" w:type="dxa"/>
            <w:vAlign w:val="bottom"/>
          </w:tcPr>
          <w:p>
            <w:pPr>
              <w:jc w:val="right"/>
              <w:spacing w:after="0"/>
              <w:rPr>
                <w:sz w:val="20"/>
                <w:szCs w:val="20"/>
                <w:color w:val="auto"/>
              </w:rPr>
            </w:pPr>
            <w:r>
              <w:rPr>
                <w:rFonts w:ascii="Arial" w:cs="Arial" w:eastAsia="Arial" w:hAnsi="Arial"/>
                <w:sz w:val="18"/>
                <w:szCs w:val="18"/>
                <w:color w:val="auto"/>
              </w:rPr>
              <w:t>3,345,172</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7,176,579</w:t>
            </w:r>
          </w:p>
        </w:tc>
        <w:tc>
          <w:tcPr>
            <w:tcW w:w="3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918,567</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7,176,579</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918,567</w:t>
            </w:r>
          </w:p>
        </w:tc>
        <w:tc>
          <w:tcPr>
            <w:tcW w:w="0" w:type="dxa"/>
            <w:vAlign w:val="bottom"/>
          </w:tcPr>
          <w:p>
            <w:pPr>
              <w:spacing w:after="0"/>
              <w:rPr>
                <w:sz w:val="1"/>
                <w:szCs w:val="1"/>
                <w:color w:val="auto"/>
              </w:rPr>
            </w:pPr>
          </w:p>
        </w:tc>
      </w:tr>
      <w:tr>
        <w:trPr>
          <w:trHeight w:val="215"/>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financial securities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1,006</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6,541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837</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6,541</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5"/>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Loans and advances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126,163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2,907,967</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372,205</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2,907,967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372,205</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Receivables: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Clients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792,480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218,960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28,026</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218,960</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28,026</w:t>
            </w:r>
          </w:p>
        </w:tc>
        <w:tc>
          <w:tcPr>
            <w:tcW w:w="0" w:type="dxa"/>
            <w:vAlign w:val="bottom"/>
          </w:tcPr>
          <w:p>
            <w:pPr>
              <w:spacing w:after="0"/>
              <w:rPr>
                <w:sz w:val="1"/>
                <w:szCs w:val="1"/>
                <w:color w:val="auto"/>
              </w:rPr>
            </w:pPr>
          </w:p>
        </w:tc>
      </w:tr>
      <w:tr>
        <w:trPr>
          <w:trHeight w:val="215"/>
        </w:trPr>
        <w:tc>
          <w:tcPr>
            <w:tcW w:w="4120" w:type="dxa"/>
            <w:vAlign w:val="bottom"/>
          </w:tcPr>
          <w:p>
            <w:pPr>
              <w:ind w:left="360"/>
              <w:spacing w:after="0"/>
              <w:rPr>
                <w:sz w:val="20"/>
                <w:szCs w:val="20"/>
                <w:color w:val="auto"/>
              </w:rPr>
            </w:pPr>
            <w:r>
              <w:rPr>
                <w:rFonts w:ascii="Arial" w:cs="Arial" w:eastAsia="Arial" w:hAnsi="Arial"/>
                <w:sz w:val="18"/>
                <w:szCs w:val="18"/>
                <w:color w:val="auto"/>
              </w:rPr>
              <w:t>Brokers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9,918</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106,078</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13,577</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106,078</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13,577</w:t>
            </w:r>
          </w:p>
        </w:tc>
        <w:tc>
          <w:tcPr>
            <w:tcW w:w="0" w:type="dxa"/>
            <w:vAlign w:val="bottom"/>
          </w:tcPr>
          <w:p>
            <w:pPr>
              <w:spacing w:after="0"/>
              <w:rPr>
                <w:sz w:val="1"/>
                <w:szCs w:val="1"/>
                <w:color w:val="auto"/>
              </w:rPr>
            </w:pPr>
          </w:p>
        </w:tc>
      </w:tr>
      <w:tr>
        <w:trPr>
          <w:trHeight w:val="215"/>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Clearing organization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9,614</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55,892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7,154</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55,892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r>
        <w:trPr>
          <w:trHeight w:val="215"/>
        </w:trPr>
        <w:tc>
          <w:tcPr>
            <w:tcW w:w="41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1,070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7,041</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901</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7,041</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5"/>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4,932</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3,646</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45,876</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65,918</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8,437</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65,918</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4,517,483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10,923,885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1,398,203</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10,923,885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1,398,203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240" w:top="457" w:right="9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7"/>
              </w:rPr>
              <w:t>Pro Forma</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3"/>
              </w:rPr>
              <w:t>As of December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5"/>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4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720" w:type="dxa"/>
            <w:vAlign w:val="bottom"/>
            <w:tcBorders>
              <w:top w:val="single" w:sz="8" w:color="auto"/>
            </w:tcBorders>
          </w:tcPr>
          <w:p>
            <w:pPr>
              <w:ind w:left="200"/>
              <w:spacing w:after="0" w:line="141"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16"/>
              <w:spacing w:after="0" w:line="14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181"/>
              <w:spacing w:after="0" w:line="141"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20"/>
              <w:spacing w:after="0" w:line="141"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180"/>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200"/>
              <w:spacing w:after="0" w:line="141" w:lineRule="exact"/>
              <w:rPr>
                <w:sz w:val="20"/>
                <w:szCs w:val="20"/>
                <w:color w:val="auto"/>
              </w:rPr>
            </w:pPr>
            <w:r>
              <w:rPr>
                <w:rFonts w:ascii="Arial" w:cs="Arial" w:eastAsia="Arial" w:hAnsi="Arial"/>
                <w:sz w:val="14"/>
                <w:szCs w:val="14"/>
                <w:b w:val="1"/>
                <w:bCs w:val="1"/>
                <w:color w:val="auto"/>
              </w:rPr>
              <w:t>HK$</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6"/>
              <w:spacing w:after="0" w:line="141" w:lineRule="exact"/>
              <w:rPr>
                <w:sz w:val="20"/>
                <w:szCs w:val="20"/>
                <w:color w:val="auto"/>
              </w:rPr>
            </w:pPr>
            <w:r>
              <w:rPr>
                <w:rFonts w:ascii="Arial" w:cs="Arial" w:eastAsia="Arial" w:hAnsi="Arial"/>
                <w:sz w:val="14"/>
                <w:szCs w:val="14"/>
                <w:b w:val="1"/>
                <w:bCs w:val="1"/>
                <w:color w:val="auto"/>
              </w:rPr>
              <w:t>HK$</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1"/>
              <w:spacing w:after="0" w:line="141" w:lineRule="exact"/>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0"/>
              <w:spacing w:after="0" w:line="141" w:lineRule="exact"/>
              <w:rPr>
                <w:sz w:val="20"/>
                <w:szCs w:val="20"/>
                <w:color w:val="auto"/>
              </w:rPr>
            </w:pPr>
            <w:r>
              <w:rPr>
                <w:rFonts w:ascii="Arial" w:cs="Arial" w:eastAsia="Arial" w:hAnsi="Arial"/>
                <w:sz w:val="14"/>
                <w:szCs w:val="14"/>
                <w:b w:val="1"/>
                <w:bCs w:val="1"/>
                <w:color w:val="auto"/>
              </w:rPr>
              <w:t>HK$</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200"/>
              <w:spacing w:after="0" w:line="141"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5"/>
          </w:tcPr>
          <w:p>
            <w:pPr>
              <w:jc w:val="right"/>
              <w:ind w:right="320"/>
              <w:spacing w:after="0" w:line="141"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6,479</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14,687</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1,880</w:t>
            </w:r>
          </w:p>
        </w:tc>
        <w:tc>
          <w:tcPr>
            <w:tcW w:w="2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14,687</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5"/>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80" w:type="dxa"/>
            <w:vAlign w:val="bottom"/>
          </w:tcPr>
          <w:p>
            <w:pPr>
              <w:ind w:left="360"/>
              <w:spacing w:after="0"/>
              <w:rPr>
                <w:sz w:val="20"/>
                <w:szCs w:val="20"/>
                <w:color w:val="auto"/>
              </w:rPr>
            </w:pPr>
            <w:r>
              <w:rPr>
                <w:rFonts w:ascii="Arial" w:cs="Arial" w:eastAsia="Arial" w:hAnsi="Arial"/>
                <w:sz w:val="18"/>
                <w:szCs w:val="18"/>
                <w:color w:val="auto"/>
              </w:rPr>
              <w:t>Clients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4,107,782</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7,340,823</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939,589</w:t>
            </w:r>
          </w:p>
        </w:tc>
        <w:tc>
          <w:tcPr>
            <w:tcW w:w="2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7,340,823</w:t>
            </w:r>
          </w:p>
        </w:tc>
        <w:tc>
          <w:tcPr>
            <w:tcW w:w="4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939,589</w:t>
            </w:r>
          </w:p>
        </w:tc>
        <w:tc>
          <w:tcPr>
            <w:tcW w:w="0" w:type="dxa"/>
            <w:vAlign w:val="bottom"/>
          </w:tcPr>
          <w:p>
            <w:pPr>
              <w:spacing w:after="0"/>
              <w:rPr>
                <w:sz w:val="1"/>
                <w:szCs w:val="1"/>
                <w:color w:val="auto"/>
              </w:rPr>
            </w:pPr>
          </w:p>
        </w:tc>
      </w:tr>
      <w:tr>
        <w:trPr>
          <w:trHeight w:val="215"/>
        </w:trPr>
        <w:tc>
          <w:tcPr>
            <w:tcW w:w="42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Brokers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31,446</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929,692</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118,996</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929,692</w:t>
            </w:r>
          </w:p>
        </w:tc>
        <w:tc>
          <w:tcPr>
            <w:tcW w:w="4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118,996</w:t>
            </w:r>
          </w:p>
        </w:tc>
        <w:tc>
          <w:tcPr>
            <w:tcW w:w="0" w:type="dxa"/>
            <w:vAlign w:val="bottom"/>
          </w:tcPr>
          <w:p>
            <w:pPr>
              <w:spacing w:after="0"/>
              <w:rPr>
                <w:sz w:val="1"/>
                <w:szCs w:val="1"/>
                <w:color w:val="auto"/>
              </w:rPr>
            </w:pPr>
          </w:p>
        </w:tc>
      </w:tr>
      <w:tr>
        <w:trPr>
          <w:trHeight w:val="215"/>
        </w:trPr>
        <w:tc>
          <w:tcPr>
            <w:tcW w:w="4280" w:type="dxa"/>
            <w:vAlign w:val="bottom"/>
          </w:tcPr>
          <w:p>
            <w:pPr>
              <w:ind w:left="360"/>
              <w:spacing w:after="0"/>
              <w:rPr>
                <w:sz w:val="20"/>
                <w:szCs w:val="20"/>
                <w:color w:val="auto"/>
              </w:rPr>
            </w:pPr>
            <w:r>
              <w:rPr>
                <w:rFonts w:ascii="Arial" w:cs="Arial" w:eastAsia="Arial" w:hAnsi="Arial"/>
                <w:sz w:val="18"/>
                <w:szCs w:val="18"/>
                <w:color w:val="auto"/>
              </w:rPr>
              <w:t>Clearing organization</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10,441</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82,878</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10,608</w:t>
            </w:r>
          </w:p>
        </w:tc>
        <w:tc>
          <w:tcPr>
            <w:tcW w:w="2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82,878</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15"/>
        </w:trPr>
        <w:tc>
          <w:tcPr>
            <w:tcW w:w="42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2,481</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2,066</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2,066</w:t>
            </w:r>
          </w:p>
        </w:tc>
        <w:tc>
          <w:tcPr>
            <w:tcW w:w="4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Short-term borrowings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161,179</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1,542,448</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197,426</w:t>
            </w:r>
          </w:p>
        </w:tc>
        <w:tc>
          <w:tcPr>
            <w:tcW w:w="2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1,542,448</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197,426</w:t>
            </w:r>
          </w:p>
        </w:tc>
        <w:tc>
          <w:tcPr>
            <w:tcW w:w="0" w:type="dxa"/>
            <w:vAlign w:val="bottom"/>
          </w:tcPr>
          <w:p>
            <w:pPr>
              <w:spacing w:after="0"/>
              <w:rPr>
                <w:sz w:val="1"/>
                <w:szCs w:val="1"/>
                <w:color w:val="auto"/>
              </w:rPr>
            </w:pPr>
          </w:p>
        </w:tc>
      </w:tr>
      <w:tr>
        <w:trPr>
          <w:trHeight w:val="215"/>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32,030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26,689</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60,717</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7,771</w:t>
            </w:r>
          </w:p>
        </w:tc>
        <w:tc>
          <w:tcPr>
            <w:tcW w:w="2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60,717</w:t>
            </w: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7"/>
        </w:trPr>
        <w:tc>
          <w:tcPr>
            <w:tcW w:w="42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4,378,527</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9,973,311</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1,276,534</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9,973,311</w:t>
            </w:r>
          </w:p>
        </w:tc>
        <w:tc>
          <w:tcPr>
            <w:tcW w:w="4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1,276,534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329,175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1,183,475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151,480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(190,219)</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(232,901)</w:t>
            </w:r>
          </w:p>
        </w:tc>
        <w:tc>
          <w:tcPr>
            <w:tcW w:w="1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(29,811)</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950,574</w:t>
            </w:r>
          </w:p>
        </w:tc>
        <w:tc>
          <w:tcPr>
            <w:tcW w:w="4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121,669</w:t>
            </w:r>
          </w:p>
        </w:tc>
        <w:tc>
          <w:tcPr>
            <w:tcW w:w="0" w:type="dxa"/>
            <w:vAlign w:val="bottom"/>
          </w:tcPr>
          <w:p>
            <w:pPr>
              <w:spacing w:after="0"/>
              <w:rPr>
                <w:sz w:val="1"/>
                <w:szCs w:val="1"/>
                <w:color w:val="auto"/>
              </w:rPr>
            </w:pPr>
          </w:p>
        </w:tc>
      </w:tr>
      <w:tr>
        <w:trPr>
          <w:trHeight w:val="203"/>
        </w:trPr>
        <w:tc>
          <w:tcPr>
            <w:tcW w:w="4280" w:type="dxa"/>
            <w:vAlign w:val="bottom"/>
          </w:tcPr>
          <w:p>
            <w:pPr>
              <w:spacing w:after="0" w:line="203" w:lineRule="exact"/>
              <w:rPr>
                <w:sz w:val="20"/>
                <w:szCs w:val="20"/>
                <w:color w:val="auto"/>
              </w:rPr>
            </w:pPr>
            <w:r>
              <w:rPr>
                <w:rFonts w:ascii="Arial" w:cs="Arial" w:eastAsia="Arial" w:hAnsi="Arial"/>
                <w:sz w:val="18"/>
                <w:szCs w:val="18"/>
                <w:b w:val="1"/>
                <w:bCs w:val="1"/>
                <w:color w:val="auto"/>
              </w:rPr>
              <w:t>Total liabilities, mezzanine equity and</w:t>
            </w: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280" w:type="dxa"/>
            <w:vAlign w:val="bottom"/>
          </w:tcPr>
          <w:p>
            <w:pPr>
              <w:ind w:left="180"/>
              <w:spacing w:after="0"/>
              <w:rPr>
                <w:sz w:val="20"/>
                <w:szCs w:val="20"/>
                <w:color w:val="auto"/>
              </w:rPr>
            </w:pPr>
            <w:r>
              <w:rPr>
                <w:rFonts w:ascii="Arial" w:cs="Arial" w:eastAsia="Arial" w:hAnsi="Arial"/>
                <w:sz w:val="18"/>
                <w:szCs w:val="18"/>
                <w:b w:val="1"/>
                <w:bCs w:val="1"/>
                <w:color w:val="auto"/>
              </w:rPr>
              <w:t>shareholders’ (deficit)/equity</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4,517,483</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10,923,885</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1,398,203</w:t>
            </w:r>
          </w:p>
        </w:tc>
        <w:tc>
          <w:tcPr>
            <w:tcW w:w="22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5"/>
              </w:rPr>
              <w:t>10,923,885</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1,398,203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640" w:type="dxa"/>
            <w:vAlign w:val="bottom"/>
            <w:tcBorders>
              <w:top w:val="single" w:sz="8" w:color="auto"/>
            </w:tcBorders>
          </w:tcPr>
          <w:p>
            <w:pPr>
              <w:jc w:val="right"/>
              <w:ind w:right="1"/>
              <w:spacing w:after="0" w:line="141"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right"/>
              <w:ind w:right="140"/>
              <w:spacing w:after="0" w:line="141"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60"/>
              <w:spacing w:after="0" w:line="141" w:lineRule="exact"/>
              <w:rPr>
                <w:sz w:val="20"/>
                <w:szCs w:val="20"/>
                <w:color w:val="auto"/>
              </w:rPr>
            </w:pPr>
            <w:r>
              <w:rPr>
                <w:rFonts w:ascii="Arial" w:cs="Arial" w:eastAsia="Arial" w:hAnsi="Arial"/>
                <w:sz w:val="14"/>
                <w:szCs w:val="14"/>
                <w:b w:val="1"/>
                <w:bCs w:val="1"/>
                <w:color w:val="auto"/>
              </w:rPr>
              <w:t>HK$</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ind w:right="680"/>
              <w:spacing w:after="0" w:line="141" w:lineRule="exact"/>
              <w:rPr>
                <w:sz w:val="20"/>
                <w:szCs w:val="20"/>
                <w:color w:val="auto"/>
              </w:rPr>
            </w:pPr>
            <w:r>
              <w:rPr>
                <w:rFonts w:ascii="Arial" w:cs="Arial" w:eastAsia="Arial" w:hAnsi="Arial"/>
                <w:sz w:val="14"/>
                <w:szCs w:val="14"/>
                <w:b w:val="1"/>
                <w:bCs w:val="1"/>
                <w:color w:val="auto"/>
              </w:rPr>
              <w:t>HK$</w:t>
            </w:r>
          </w:p>
        </w:tc>
        <w:tc>
          <w:tcPr>
            <w:tcW w:w="720" w:type="dxa"/>
            <w:vAlign w:val="bottom"/>
            <w:tcBorders>
              <w:top w:val="single" w:sz="8" w:color="auto"/>
              <w:bottom w:val="single" w:sz="8" w:color="auto"/>
            </w:tcBorders>
          </w:tcPr>
          <w:p>
            <w:pPr>
              <w:ind w:left="200"/>
              <w:spacing w:after="0" w:line="141"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right"/>
              <w:ind w:right="440"/>
              <w:spacing w:after="0" w:line="141" w:lineRule="exact"/>
              <w:rPr>
                <w:sz w:val="20"/>
                <w:szCs w:val="20"/>
                <w:color w:val="auto"/>
              </w:rPr>
            </w:pPr>
            <w:r>
              <w:rPr>
                <w:rFonts w:ascii="Arial" w:cs="Arial" w:eastAsia="Arial" w:hAnsi="Arial"/>
                <w:sz w:val="14"/>
                <w:szCs w:val="14"/>
                <w:b w:val="1"/>
                <w:bCs w:val="1"/>
                <w:color w:val="auto"/>
                <w:w w:val="97"/>
              </w:rPr>
              <w:t>(in thousands)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Net cash generated from operating activities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5"/>
          </w:tcPr>
          <w:p>
            <w:pPr>
              <w:jc w:val="right"/>
              <w:ind w:right="220"/>
              <w:spacing w:after="0"/>
              <w:rPr>
                <w:sz w:val="20"/>
                <w:szCs w:val="20"/>
                <w:color w:val="auto"/>
              </w:rPr>
            </w:pPr>
            <w:r>
              <w:rPr>
                <w:rFonts w:ascii="Arial" w:cs="Arial" w:eastAsia="Arial" w:hAnsi="Arial"/>
                <w:sz w:val="18"/>
                <w:szCs w:val="18"/>
                <w:color w:val="auto"/>
              </w:rPr>
              <w:t>1,397,692</w:t>
            </w:r>
          </w:p>
        </w:tc>
        <w:tc>
          <w:tcPr>
            <w:tcW w:w="1400" w:type="dxa"/>
            <w:vAlign w:val="bottom"/>
            <w:gridSpan w:val="4"/>
          </w:tcPr>
          <w:p>
            <w:pPr>
              <w:jc w:val="right"/>
              <w:ind w:right="420"/>
              <w:spacing w:after="0"/>
              <w:rPr>
                <w:sz w:val="20"/>
                <w:szCs w:val="20"/>
                <w:color w:val="auto"/>
              </w:rPr>
            </w:pPr>
            <w:r>
              <w:rPr>
                <w:rFonts w:ascii="Arial" w:cs="Arial" w:eastAsia="Arial" w:hAnsi="Arial"/>
                <w:sz w:val="18"/>
                <w:szCs w:val="18"/>
                <w:color w:val="auto"/>
              </w:rPr>
              <w:t>1,855,328</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237,475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(6,230)</w:t>
            </w:r>
          </w:p>
        </w:tc>
        <w:tc>
          <w:tcPr>
            <w:tcW w:w="140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(5,145)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Net cash generated from financing activities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5"/>
          </w:tcPr>
          <w:p>
            <w:pPr>
              <w:jc w:val="right"/>
              <w:ind w:right="220"/>
              <w:spacing w:after="0"/>
              <w:rPr>
                <w:sz w:val="20"/>
                <w:szCs w:val="20"/>
                <w:color w:val="auto"/>
              </w:rPr>
            </w:pPr>
            <w:r>
              <w:rPr>
                <w:rFonts w:ascii="Arial" w:cs="Arial" w:eastAsia="Arial" w:hAnsi="Arial"/>
                <w:sz w:val="18"/>
                <w:szCs w:val="18"/>
                <w:color w:val="auto"/>
              </w:rPr>
              <w:t>147,594</w:t>
            </w:r>
          </w:p>
        </w:tc>
        <w:tc>
          <w:tcPr>
            <w:tcW w:w="1400" w:type="dxa"/>
            <w:vAlign w:val="bottom"/>
            <w:gridSpan w:val="4"/>
          </w:tcPr>
          <w:p>
            <w:pPr>
              <w:jc w:val="right"/>
              <w:ind w:right="420"/>
              <w:spacing w:after="0"/>
              <w:rPr>
                <w:sz w:val="20"/>
                <w:szCs w:val="20"/>
                <w:color w:val="auto"/>
              </w:rPr>
            </w:pPr>
            <w:r>
              <w:rPr>
                <w:rFonts w:ascii="Arial" w:cs="Arial" w:eastAsia="Arial" w:hAnsi="Arial"/>
                <w:sz w:val="18"/>
                <w:szCs w:val="18"/>
                <w:color w:val="auto"/>
              </w:rPr>
              <w:t>2,155,846</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275,936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3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40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21,625</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w w:val="91"/>
              </w:rPr>
              <w:t>Net increase in cash, cash equivalents and restricted cash</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1,539,133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4,027,654</w:t>
            </w:r>
          </w:p>
        </w:tc>
        <w:tc>
          <w:tcPr>
            <w:tcW w:w="4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515,521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Cash, cash equivalents and restricted cash at beginning of the year</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1,985,055</w:t>
            </w:r>
          </w:p>
        </w:tc>
        <w:tc>
          <w:tcPr>
            <w:tcW w:w="140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3,524,188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451,078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w w:val="86"/>
              </w:rPr>
              <w:t>Cash, cash equivalents and restricted cash at end of the year</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3,524,188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7,551,842</w:t>
            </w:r>
          </w:p>
        </w:tc>
        <w:tc>
          <w:tcPr>
            <w:tcW w:w="4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966,599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240" w:top="457" w:right="9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8" w:lineRule="exact"/>
        <w:rPr>
          <w:sz w:val="20"/>
          <w:szCs w:val="20"/>
          <w:color w:val="auto"/>
        </w:rPr>
      </w:pPr>
    </w:p>
    <w:p>
      <w:pPr>
        <w:ind w:left="240" w:firstLine="438"/>
        <w:spacing w:after="0" w:line="295"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“Risk Factors” and elsewhere in this prospectus. See “Special Note Regarding Forward-Looking Statements.”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 are an advanced technology company transforming the investing experience by offering a fully digitized brokerage platform. Technology</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permeates every part of our business, allowing us to offer a redefined user experience built upon an agile, stable, scalable and secure platform. We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primarily serve the emerging affluent Chinese population, pursuing a massive opportunity to facilitate a once-in-a-generation shift in the wealth</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management industry and build a digital gateway into broader financial services. As of June 30, 2018, we had an attractive and rapidly growing user</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base of 4.8 million, over 373,000 registered clients, defined as users who have opened trading accounts with us, and over 109,000 paying clients,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defined as registered clients who have assets in their trading accounts. For the six months ended June 30, 2018, we brokered HK$478.2 billion</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(US$61.2 billion) in client trades, underlying a brokerage revenue base which ranked fourth among Hong Kong online retail brokers according to Oliver</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Wyman.</w:t>
      </w:r>
    </w:p>
    <w:p>
      <w:pPr>
        <w:spacing w:after="0" w:line="208" w:lineRule="exact"/>
        <w:rPr>
          <w:sz w:val="20"/>
          <w:szCs w:val="20"/>
          <w:color w:val="auto"/>
        </w:rPr>
      </w:pPr>
    </w:p>
    <w:p>
      <w:pPr>
        <w:ind w:left="240" w:right="60" w:firstLine="438"/>
        <w:spacing w:after="0" w:line="269" w:lineRule="auto"/>
        <w:rPr>
          <w:sz w:val="20"/>
          <w:szCs w:val="20"/>
          <w:color w:val="auto"/>
        </w:rPr>
      </w:pPr>
      <w:r>
        <w:rPr>
          <w:rFonts w:ascii="Arial" w:cs="Arial" w:eastAsia="Arial" w:hAnsi="Arial"/>
          <w:sz w:val="17"/>
          <w:szCs w:val="17"/>
          <w:color w:val="auto"/>
        </w:rPr>
        <w:t>We launched our business on the premise that no one should be precluded from investing on the basis of prohibitive transaction costs or market inexperience. We thus designed a platform around an elegant user experience integrating clear and relevant market data, social collaboration and best-in-class trade execution, finding that by delivering our vision through a purpose-built technology infrastructure we could disrupt traditional investing conventions. Over the last eight years we have continuously enhanced our technology and built a comprehensive, user-oriented and fully licensed cloud-based platform. This serves as a foundation from which to execute our growth strategies with an operating efficiency that allows us to offer commission rates that are approximately one-fifth of the average rate offered by the leading players in Hong Kong, according to Oliver Wyman, creating a massive barrier to entry. As of December 31, 2017, approximately 60% of our workforce is dedicated to research and development, reflecting the degree to which technological excellence is entrenched in every aspect of our business.</w:t>
      </w:r>
    </w:p>
    <w:p>
      <w:pPr>
        <w:spacing w:after="0" w:line="181"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 xml:space="preserve">We provide investing services through our proprietary digital platform, </w:t>
      </w:r>
      <w:r>
        <w:rPr>
          <w:rFonts w:ascii="Arial" w:cs="Arial" w:eastAsia="Arial" w:hAnsi="Arial"/>
          <w:sz w:val="18"/>
          <w:szCs w:val="18"/>
          <w:i w:val="1"/>
          <w:iCs w:val="1"/>
          <w:color w:val="auto"/>
        </w:rPr>
        <w:t>Futu NiuNiu</w:t>
      </w:r>
      <w:r>
        <w:rPr>
          <w:rFonts w:ascii="Arial" w:cs="Arial" w:eastAsia="Arial" w:hAnsi="Arial"/>
          <w:sz w:val="18"/>
          <w:szCs w:val="18"/>
          <w:color w:val="auto"/>
        </w:rPr>
        <w:t>, a highly integrated application accessible through any mobile device, tablet or desktop. Our primary fee-generating services include trade execution and margin financing which allow our clients to trade securities, such as stocks, warrants, options and ETFs, across different markets. We surround our trading and margin financing services and enhance our user and client experience with market data and news, research, as well as powerful analytical tools, providing our clients with a data rich foundation to simplify the investing decision-making process.</w:t>
      </w:r>
    </w:p>
    <w:p>
      <w:pPr>
        <w:spacing w:after="0" w:line="189" w:lineRule="exact"/>
        <w:rPr>
          <w:sz w:val="20"/>
          <w:szCs w:val="20"/>
          <w:color w:val="auto"/>
        </w:rPr>
      </w:pPr>
    </w:p>
    <w:p>
      <w:pPr>
        <w:ind w:left="240" w:right="40" w:firstLine="438"/>
        <w:spacing w:after="0" w:line="255" w:lineRule="auto"/>
        <w:rPr>
          <w:sz w:val="20"/>
          <w:szCs w:val="20"/>
          <w:color w:val="auto"/>
        </w:rPr>
      </w:pPr>
      <w:r>
        <w:rPr>
          <w:rFonts w:ascii="Arial" w:cs="Arial" w:eastAsia="Arial" w:hAnsi="Arial"/>
          <w:sz w:val="18"/>
          <w:szCs w:val="18"/>
          <w:color w:val="auto"/>
        </w:rPr>
        <w:t>We have achieved significant growth in our user and client base, client assets, trading volumes and revenues. Our paying clients increased by 125.8% from 35,456 as of December 31, 2016 to 80,057 as of December 31, 2017. Our growing paying client base allowed us to increase client assets and trading volumes by 186.0% and 164.4%, respectively, in 2017 as compared to 2016. This drove revenues of HK$311.7 million (US$39.9 million) in 2017, representing a 258.2% increase from HK$87.0 million in 2016. Over this same period we were able to decrease our net loss from HK$98.5 million in 2016 to HK$8.1 million (US$1.0 million) in 2017.</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19" w:lineRule="exact"/>
        <w:rPr>
          <w:sz w:val="20"/>
          <w:szCs w:val="20"/>
          <w:color w:val="auto"/>
        </w:rPr>
      </w:pPr>
    </w:p>
    <w:p>
      <w:pPr>
        <w:ind w:left="240" w:right="680" w:firstLine="438"/>
        <w:spacing w:after="0" w:line="275" w:lineRule="auto"/>
        <w:rPr>
          <w:sz w:val="20"/>
          <w:szCs w:val="20"/>
          <w:color w:val="auto"/>
        </w:rPr>
      </w:pPr>
      <w:r>
        <w:rPr>
          <w:rFonts w:ascii="Arial" w:cs="Arial" w:eastAsia="Arial" w:hAnsi="Arial"/>
          <w:sz w:val="18"/>
          <w:szCs w:val="18"/>
          <w:color w:val="auto"/>
        </w:rPr>
        <w:t>Our business and results of operations are influenced by general factors affecting the online brokerage industry in Hong Kong and China, including the overall economic and market conditions, level of per capita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240" w:top="457"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00"/>
        <w:spacing w:after="0" w:line="255" w:lineRule="auto"/>
        <w:rPr>
          <w:sz w:val="20"/>
          <w:szCs w:val="20"/>
          <w:color w:val="auto"/>
        </w:rPr>
      </w:pPr>
      <w:r>
        <w:rPr>
          <w:rFonts w:ascii="Arial" w:cs="Arial" w:eastAsia="Arial" w:hAnsi="Arial"/>
          <w:sz w:val="18"/>
          <w:szCs w:val="18"/>
          <w:color w:val="auto"/>
        </w:rPr>
        <w:t>disposable income in Hong Kong and China, and the growth of the online brokerage and related services markets. In particular, as our securities brokerage business depends heavily on trading volume, our financial performance is highly dependent on the market conditions in which our business operates. Changes in market conditions can have a significant impact on investor sentiment and trading volume, resulting in fluctuation in brokerage commission and fee income. Our margin financing business is subject to influences from market factors such as market liquidity, interest rate as well as investor sentiment.</w:t>
      </w:r>
    </w:p>
    <w:p>
      <w:pPr>
        <w:spacing w:after="0" w:line="189" w:lineRule="exact"/>
        <w:rPr>
          <w:sz w:val="20"/>
          <w:szCs w:val="20"/>
          <w:color w:val="auto"/>
        </w:rPr>
      </w:pPr>
    </w:p>
    <w:p>
      <w:pPr>
        <w:ind w:left="240" w:right="180" w:firstLine="438"/>
        <w:spacing w:after="0" w:line="295" w:lineRule="auto"/>
        <w:rPr>
          <w:sz w:val="20"/>
          <w:szCs w:val="20"/>
          <w:color w:val="auto"/>
        </w:rPr>
      </w:pPr>
      <w:r>
        <w:rPr>
          <w:rFonts w:ascii="Arial" w:cs="Arial" w:eastAsia="Arial" w:hAnsi="Arial"/>
          <w:sz w:val="16"/>
          <w:szCs w:val="16"/>
          <w:color w:val="auto"/>
        </w:rPr>
        <w:t>In addition, our business and results of operations are also affected by factors driving online brokerage in Hong Kong and China, such as the growing number of retail investors having interests and needs in investing securities in global capital markets, the usage and penetration rate of the internet and mobile internet, the changing investor preferences with respect to trading and investment platforms and the competitive environment, governmental policies and regulatory environment, such as any capital control measures that impose restrictions on cross-border transfer. Unfavorable changes in any of these general factors could negatively affect demand for our services and materially and adversely affect our results of operations.</w:t>
      </w:r>
    </w:p>
    <w:p>
      <w:pPr>
        <w:spacing w:after="0" w:line="158" w:lineRule="exact"/>
        <w:rPr>
          <w:sz w:val="20"/>
          <w:szCs w:val="20"/>
          <w:color w:val="auto"/>
        </w:rPr>
      </w:pPr>
    </w:p>
    <w:p>
      <w:pPr>
        <w:ind w:left="240" w:right="100" w:firstLine="438"/>
        <w:spacing w:after="0" w:line="275" w:lineRule="auto"/>
        <w:rPr>
          <w:sz w:val="20"/>
          <w:szCs w:val="20"/>
          <w:color w:val="auto"/>
        </w:rPr>
      </w:pPr>
      <w:r>
        <w:rPr>
          <w:rFonts w:ascii="Arial" w:cs="Arial" w:eastAsia="Arial" w:hAnsi="Arial"/>
          <w:sz w:val="18"/>
          <w:szCs w:val="18"/>
          <w:color w:val="auto"/>
        </w:rPr>
        <w:t>While our business is influenced by general factors affecting our industry, our results of operations are more directly affected by certain company specific factors, including:</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Number of clients, their trading activities and commission rate</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Growth in the trading volume on our platform is the key driver of our revenue growth, which is in turn driven by the number of paying clients,</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average client asset balance and turnover of trading volume over client assets. The trading volume on our platform increased by 164.4% from</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HK$195.9 billion in 2016 to HK$517.9 billion (US$66.3 billion) in 2017. The increase was primarily driven by the increase in the number of our paying</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clients, as well as increase in the average client asset balance during this period. The number of paying clients increased from 35,456 in 2016 to 80,057</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2017. Meanwhile, our average paying client asset balance increased from HK$437,626 in 2016 to HK$554,379 (US$70,958) in 2017. As a result,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same period, our total client asset balance increased by 186.0% from HK$15.5 billion in 2016 to HK$44.4 billion (US$5.7 billion) in 2017,</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which has also contributed to the significant increase in our interest income during this period. The average client asset balance in turn can be affected</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by a number of factors, including level of per capita disposable income as well as the engagement and stickiness of our clients. We have strived to</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increase the engagement and stickiness of our clients and enhance the competitiveness and attractiveness of our platform by offering superior investing</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experience, insightful market intelligence and social connectivity. We plan to continue to grow our business organically by attracting and retaining</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clients and increasing average client asset balance, and to improve the turnover of trading volume over client asset by adding new products and services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our platform and providing high-quality, reliable and convenient online brokerage and ancillary services to investors at low costs. Our brokerage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commission and handling charge income are affected by the trading volume as well as commission rate we charge, which has remained generally stable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2016 and 2017.</w:t>
      </w:r>
    </w:p>
    <w:p>
      <w:pPr>
        <w:spacing w:after="0" w:line="3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margin financing balance and interest spread</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 provide our investors with comprehensive investment services, we offer margin financing and securities lending services on our platform.</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Since then, benefiting from our high-growth client base, increasingly attractive products and broader financing partners network, our margin financing</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business has grown rapidly. Interest income derived from our margin financing business as a percentage of revenues increased from 2.0% in 2016 to</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21.0% in 2017. As of December 31, 2017, the margin financing balance amounted to HK$2,865.0 million (US$366.7 million), compared to</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HK$126.2 million as of December 31, 2016. The increase in margin financing balance has been primarily driven by the increase in the number of</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margin financing clients. In 2017, we had provided margin financing service for securities listed on the Hong Kong Stock Exchange and the major stock</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exchanges in the U.S. to 15,374 and 8,401 clients, respectively, and we had provided securities lending services for securities listed on the major stock</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exchanges in the U.S. to 2,987 clients. The margin financing balance is also affected by factors including client asset balance, margin financing balance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 percentage of client assets, and our ability to continue to secure funding from third-party lenders.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7"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firstLine="438"/>
        <w:spacing w:after="0" w:line="252" w:lineRule="auto"/>
        <w:rPr>
          <w:sz w:val="20"/>
          <w:szCs w:val="20"/>
          <w:color w:val="auto"/>
        </w:rPr>
      </w:pPr>
      <w:r>
        <w:rPr>
          <w:rFonts w:ascii="Arial" w:cs="Arial" w:eastAsia="Arial" w:hAnsi="Arial"/>
          <w:sz w:val="18"/>
          <w:szCs w:val="18"/>
          <w:color w:val="auto"/>
        </w:rPr>
        <w:t>The net interest income from our margin financing business is affected by our margin financing balance, as well as the interest spread we earn. We have benefitted from the increase in client demand for margin financing services, which in turn strengthened our bargaining power against third-party lenders and allowed us to optimize interest expenses. To continue to expand our margin financing business, we plan to deepen our cooperation with third-party lenders as well as allocate our own capital to increase the funds available. To effectively manage our capital, we have established liquidity policies to support the growth of our margin financing business while ensuring sufficient capital reserve is maintained to meet operational needs and comply with applicable regulatory requirements. In addition, once we become a publicly listed company, we will be perceived as a stronger debtor by lenders and potentially obtain a better credit rating from rating agencies, which will further diversify our funding sources and improve our funding terms.</w:t>
      </w:r>
    </w:p>
    <w:p>
      <w:pPr>
        <w:spacing w:after="0" w:line="195" w:lineRule="exact"/>
        <w:rPr>
          <w:sz w:val="20"/>
          <w:szCs w:val="20"/>
          <w:color w:val="auto"/>
        </w:rPr>
      </w:pPr>
    </w:p>
    <w:p>
      <w:pPr>
        <w:ind w:left="240" w:right="60" w:firstLine="438"/>
        <w:spacing w:after="0" w:line="262" w:lineRule="auto"/>
        <w:rPr>
          <w:sz w:val="20"/>
          <w:szCs w:val="20"/>
          <w:color w:val="auto"/>
        </w:rPr>
      </w:pPr>
      <w:r>
        <w:rPr>
          <w:rFonts w:ascii="Arial" w:cs="Arial" w:eastAsia="Arial" w:hAnsi="Arial"/>
          <w:sz w:val="18"/>
          <w:szCs w:val="18"/>
          <w:color w:val="auto"/>
        </w:rPr>
        <w:t>We have also been developing and offering innovative solutions for our clients who wish to finance their securities purchases, such as real-time, cross-market, securities-backed financing and enhanced leverage for IPO subscriptions. Our revenue growth will be affected by our ability to effectively execute these initiatives and increase our margin financing balance and interest spread.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leverage of our platform</w:t>
      </w:r>
    </w:p>
    <w:p>
      <w:pPr>
        <w:spacing w:after="0" w:line="115" w:lineRule="exact"/>
        <w:rPr>
          <w:sz w:val="20"/>
          <w:szCs w:val="20"/>
          <w:color w:val="auto"/>
        </w:rPr>
      </w:pPr>
    </w:p>
    <w:p>
      <w:pPr>
        <w:ind w:left="240" w:firstLine="438"/>
        <w:spacing w:after="0" w:line="290" w:lineRule="auto"/>
        <w:rPr>
          <w:sz w:val="20"/>
          <w:szCs w:val="20"/>
          <w:color w:val="auto"/>
        </w:rPr>
      </w:pPr>
      <w:r>
        <w:rPr>
          <w:rFonts w:ascii="Arial" w:cs="Arial" w:eastAsia="Arial" w:hAnsi="Arial"/>
          <w:sz w:val="16"/>
          <w:szCs w:val="16"/>
          <w:color w:val="auto"/>
        </w:rPr>
        <w:t>Our results of operations depend on our ability to manage our costs and expenses. We expect our costs and expenses to continue to increase as we grow our business and attract more clients to our platform. However, we believe our platform has significant operating leverage and enables us to realize cost savings structurally. We have built a secure and scalable brokerage platform that is fully digitized and supports the full transaction lifecycle from the front-end to the back-office through our proprietary cloud-based technology, which in turn allows us to reduce our operating expenses. We believe our proprietary and modularized technology infrastructure has been fully funded, enabling us to bring in new products and enter new markets with moderate investment and marginal cost. As a result, the costs associated with the operation of our platform as well as our operating expenses do not increase in line with our revenues as we do not require a proportional increase in the size of our workforce to support our growth.</w:t>
      </w:r>
    </w:p>
    <w:p>
      <w:pPr>
        <w:spacing w:after="0" w:line="162" w:lineRule="exact"/>
        <w:rPr>
          <w:sz w:val="20"/>
          <w:szCs w:val="20"/>
          <w:color w:val="auto"/>
        </w:rPr>
      </w:pPr>
    </w:p>
    <w:p>
      <w:pPr>
        <w:ind w:left="240" w:right="160" w:firstLine="438"/>
        <w:spacing w:after="0" w:line="272" w:lineRule="auto"/>
        <w:rPr>
          <w:sz w:val="20"/>
          <w:szCs w:val="20"/>
          <w:color w:val="auto"/>
        </w:rPr>
      </w:pPr>
      <w:r>
        <w:rPr>
          <w:rFonts w:ascii="Arial" w:cs="Arial" w:eastAsia="Arial" w:hAnsi="Arial"/>
          <w:sz w:val="17"/>
          <w:szCs w:val="17"/>
          <w:color w:val="auto"/>
        </w:rPr>
        <w:t>In addition, by leveraging the client insights we generate from our large client base, we are able to attract corporate clients to utilize our distribution solution and public relations and brand promotion services, which in turn generates strong demand for our brokerage and margin financing services from our clients. The scale, demographics and depth of engagement of our client base also translates to high lifetime values. When matched against our efficient client acquisition, a function of organic growth and direct marketing through digital channels, we are able to achieve a payback period of less than six months since the beginning of 2017. As our business further grows in scale, we believe our massive scale, coupled with the network effects, will allow us to acquire clients more cost-effectively and benefit from substantial economies of scale.</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 technology and talent</w:t>
      </w:r>
    </w:p>
    <w:p>
      <w:pPr>
        <w:spacing w:after="0" w:line="115" w:lineRule="exact"/>
        <w:rPr>
          <w:sz w:val="20"/>
          <w:szCs w:val="20"/>
          <w:color w:val="auto"/>
        </w:rPr>
      </w:pPr>
    </w:p>
    <w:p>
      <w:pPr>
        <w:ind w:left="240" w:right="60" w:firstLine="438"/>
        <w:spacing w:after="0" w:line="252" w:lineRule="auto"/>
        <w:rPr>
          <w:sz w:val="20"/>
          <w:szCs w:val="20"/>
          <w:color w:val="auto"/>
        </w:rPr>
      </w:pPr>
      <w:r>
        <w:rPr>
          <w:rFonts w:ascii="Arial" w:cs="Arial" w:eastAsia="Arial" w:hAnsi="Arial"/>
          <w:sz w:val="18"/>
          <w:szCs w:val="18"/>
          <w:color w:val="auto"/>
        </w:rPr>
        <w:t>Our technology is critical for us to retain and attract clients. Over the last eight years, we have made significant investments into our technology platform, which has evolved into a highly-automated, multi-product, multi-market, closed-loop technology infrastructure that drives every function of our business including trading, risk management, clearing, market data, news feeds and social functions. We will continue to make significant investments in research and development and technology to enhance our platform to address the diverse needs of our clients and improve operating efficiency. We intend to focus on developing innovative applications, products and services aimed at providing more convenience to clients and improving our user experience, service quality and system efficiency. In addition, there is a strong demand in China’s internet industry for talented and experienced personnel. We must recruit, retain and motivate talented employees while controlling our personnel-related expenses, including share-based compensation expenses.</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broaden service offerings</w:t>
      </w:r>
    </w:p>
    <w:p>
      <w:pPr>
        <w:spacing w:after="0" w:line="115" w:lineRule="exact"/>
        <w:rPr>
          <w:sz w:val="20"/>
          <w:szCs w:val="20"/>
          <w:color w:val="auto"/>
        </w:rPr>
      </w:pPr>
    </w:p>
    <w:p>
      <w:pPr>
        <w:ind w:left="240" w:right="240" w:firstLine="438"/>
        <w:spacing w:after="0" w:line="275" w:lineRule="auto"/>
        <w:rPr>
          <w:sz w:val="20"/>
          <w:szCs w:val="20"/>
          <w:color w:val="auto"/>
        </w:rPr>
      </w:pPr>
      <w:r>
        <w:rPr>
          <w:rFonts w:ascii="Arial" w:cs="Arial" w:eastAsia="Arial" w:hAnsi="Arial"/>
          <w:sz w:val="18"/>
          <w:szCs w:val="18"/>
          <w:color w:val="auto"/>
        </w:rPr>
        <w:t>Our results of operations are also affected by our ability to invest in and develop new service offerings and further penetrate our client base. We currently derive a substantial portion of our revenues from our securities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7"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60"/>
        <w:spacing w:after="0" w:line="292" w:lineRule="auto"/>
        <w:rPr>
          <w:sz w:val="20"/>
          <w:szCs w:val="20"/>
          <w:color w:val="auto"/>
        </w:rPr>
      </w:pPr>
      <w:r>
        <w:rPr>
          <w:rFonts w:ascii="Arial" w:cs="Arial" w:eastAsia="Arial" w:hAnsi="Arial"/>
          <w:sz w:val="16"/>
          <w:szCs w:val="16"/>
          <w:color w:val="auto"/>
        </w:rPr>
        <w:t>brokerage business, and as a result, our profitability depends largely on the performance of this business. While we expect our brokerage commission income to increase and continue to be a major source of our revenues in the future, we also expect to increase the revenue contribution from other businesses with relatively higher profit margins, such as our margin financing and securities lending business. We also intend to further broaden our financial services footprint and launch new products and services, fixed income funds and futures. We believe that our comprehensive offering of financial products and services and our strong technology capability in developing new products and services will allow us to capture new market opportunities and respond to changes in the market, client demand and client preferences to remain competitive.</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115" w:lineRule="exact"/>
        <w:rPr>
          <w:sz w:val="20"/>
          <w:szCs w:val="20"/>
          <w:color w:val="auto"/>
        </w:rPr>
      </w:pPr>
    </w:p>
    <w:p>
      <w:pPr>
        <w:ind w:left="240" w:right="280" w:firstLine="438"/>
        <w:spacing w:after="0" w:line="275" w:lineRule="auto"/>
        <w:rPr>
          <w:sz w:val="20"/>
          <w:szCs w:val="20"/>
          <w:color w:val="auto"/>
        </w:rPr>
      </w:pPr>
      <w:r>
        <w:rPr>
          <w:rFonts w:ascii="Arial" w:cs="Arial" w:eastAsia="Arial" w:hAnsi="Arial"/>
          <w:sz w:val="18"/>
          <w:szCs w:val="18"/>
          <w:color w:val="auto"/>
        </w:rPr>
        <w:t>We generate revenues primarily from our online brokerage and margin financing services. The following table sets forth the components of our revenues by amounts and percentages of our total revenues for the years presented:</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 Ended December 31,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74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6"/>
              <w:spacing w:after="0" w:line="141"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248"/>
              <w:spacing w:after="0" w:line="141" w:lineRule="exact"/>
              <w:rPr>
                <w:sz w:val="20"/>
                <w:szCs w:val="20"/>
                <w:color w:val="auto"/>
              </w:rPr>
            </w:pPr>
            <w:r>
              <w:rPr>
                <w:rFonts w:ascii="Arial" w:cs="Arial" w:eastAsia="Arial" w:hAnsi="Arial"/>
                <w:sz w:val="14"/>
                <w:szCs w:val="14"/>
                <w:b w:val="1"/>
                <w:bCs w:val="1"/>
                <w:color w:val="auto"/>
              </w:rPr>
              <w:t>HK$</w:t>
            </w:r>
          </w:p>
        </w:tc>
        <w:tc>
          <w:tcPr>
            <w:tcW w:w="420" w:type="dxa"/>
            <w:vAlign w:val="bottom"/>
            <w:tcBorders>
              <w:bottom w:val="single" w:sz="8" w:color="auto"/>
            </w:tcBorders>
          </w:tcPr>
          <w:p>
            <w:pPr>
              <w:jc w:val="right"/>
              <w:ind w:right="54"/>
              <w:spacing w:after="0" w:line="141"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9"/>
              </w:rPr>
              <w:t>HK$</w:t>
            </w:r>
          </w:p>
        </w:tc>
        <w:tc>
          <w:tcPr>
            <w:tcW w:w="720" w:type="dxa"/>
            <w:vAlign w:val="bottom"/>
            <w:tcBorders>
              <w:bottom w:val="single" w:sz="8" w:color="auto"/>
            </w:tcBorders>
            <w:gridSpan w:val="2"/>
          </w:tcPr>
          <w:p>
            <w:pPr>
              <w:ind w:left="140"/>
              <w:spacing w:after="0" w:line="141" w:lineRule="exact"/>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tcPr>
          <w:p>
            <w:pPr>
              <w:jc w:val="right"/>
              <w:ind w:right="74"/>
              <w:spacing w:after="0" w:line="141"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880" w:type="dxa"/>
            <w:vAlign w:val="bottom"/>
            <w:gridSpan w:val="8"/>
          </w:tcPr>
          <w:p>
            <w:pPr>
              <w:jc w:val="center"/>
              <w:ind w:left="378"/>
              <w:spacing w:after="0" w:line="141" w:lineRule="exact"/>
              <w:rPr>
                <w:sz w:val="20"/>
                <w:szCs w:val="20"/>
                <w:color w:val="auto"/>
              </w:rPr>
            </w:pPr>
            <w:r>
              <w:rPr>
                <w:rFonts w:ascii="Arial" w:cs="Arial" w:eastAsia="Arial" w:hAnsi="Arial"/>
                <w:sz w:val="14"/>
                <w:szCs w:val="14"/>
                <w:b w:val="1"/>
                <w:bCs w:val="1"/>
                <w:color w:val="auto"/>
                <w:w w:val="89"/>
              </w:rPr>
              <w:t>(in thousands, except for percentages)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Brokerage commission and handling charge income</w:t>
            </w:r>
          </w:p>
        </w:tc>
        <w:tc>
          <w:tcPr>
            <w:tcW w:w="740" w:type="dxa"/>
            <w:vAlign w:val="bottom"/>
            <w:gridSpan w:val="2"/>
          </w:tcPr>
          <w:p>
            <w:pPr>
              <w:jc w:val="right"/>
              <w:ind w:right="108"/>
              <w:spacing w:after="0"/>
              <w:rPr>
                <w:sz w:val="20"/>
                <w:szCs w:val="20"/>
                <w:color w:val="auto"/>
              </w:rPr>
            </w:pPr>
            <w:r>
              <w:rPr>
                <w:rFonts w:ascii="Arial" w:cs="Arial" w:eastAsia="Arial" w:hAnsi="Arial"/>
                <w:sz w:val="18"/>
                <w:szCs w:val="18"/>
                <w:color w:val="auto"/>
                <w:w w:val="98"/>
              </w:rPr>
              <w:t>74,498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85.6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184,918</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23,669</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40" w:type="dxa"/>
            <w:vAlign w:val="bottom"/>
            <w:tcBorders>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5,795</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105,872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13,551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6,722</w:t>
            </w:r>
          </w:p>
        </w:tc>
        <w:tc>
          <w:tcPr>
            <w:tcW w:w="1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20,873</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2,672</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87,015</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311,663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39,892</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Brokerage commission and handling charge income</w:t>
      </w:r>
    </w:p>
    <w:p>
      <w:pPr>
        <w:spacing w:after="0" w:line="115" w:lineRule="exact"/>
        <w:rPr>
          <w:sz w:val="20"/>
          <w:szCs w:val="20"/>
          <w:color w:val="auto"/>
        </w:rPr>
      </w:pPr>
    </w:p>
    <w:p>
      <w:pPr>
        <w:jc w:val="both"/>
        <w:ind w:left="240" w:right="120" w:firstLine="438"/>
        <w:spacing w:after="0" w:line="309" w:lineRule="auto"/>
        <w:rPr>
          <w:sz w:val="20"/>
          <w:szCs w:val="20"/>
          <w:color w:val="auto"/>
        </w:rPr>
      </w:pPr>
      <w:r>
        <w:rPr>
          <w:rFonts w:ascii="Arial" w:cs="Arial" w:eastAsia="Arial" w:hAnsi="Arial"/>
          <w:sz w:val="16"/>
          <w:szCs w:val="16"/>
          <w:color w:val="auto"/>
        </w:rPr>
        <w:t>Brokerage commission income primarily consists of commissions and execution fees from our clients for whom we act as executing and clearing brokers. We generate commissions and execution fees on securities brokerage by trading equities and equity-linked derivatives on behalf of our clients. Handling charge income primarily consists of fees from settlement services and handling services for subscription and dividend collection.</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Interest income</w:t>
      </w:r>
    </w:p>
    <w:p>
      <w:pPr>
        <w:spacing w:after="0" w:line="115" w:lineRule="exact"/>
        <w:rPr>
          <w:sz w:val="20"/>
          <w:szCs w:val="20"/>
          <w:color w:val="auto"/>
        </w:rPr>
      </w:pPr>
    </w:p>
    <w:p>
      <w:pPr>
        <w:ind w:left="240" w:right="40" w:firstLine="438"/>
        <w:spacing w:after="0" w:line="339" w:lineRule="auto"/>
        <w:rPr>
          <w:sz w:val="20"/>
          <w:szCs w:val="20"/>
          <w:color w:val="auto"/>
        </w:rPr>
      </w:pPr>
      <w:r>
        <w:rPr>
          <w:rFonts w:ascii="Arial" w:cs="Arial" w:eastAsia="Arial" w:hAnsi="Arial"/>
          <w:sz w:val="16"/>
          <w:szCs w:val="16"/>
          <w:color w:val="auto"/>
        </w:rPr>
        <w:t>Interest income primarily consists of interest income from margin financing and securities lending services, interest income from bank deposit and interest income from IPO financing by arranging the financing for our clients in connection with their subscriptions in initial public offerings.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left="240" w:right="20" w:firstLine="438"/>
        <w:spacing w:after="0" w:line="269" w:lineRule="auto"/>
        <w:rPr>
          <w:sz w:val="20"/>
          <w:szCs w:val="20"/>
          <w:color w:val="auto"/>
        </w:rPr>
      </w:pPr>
      <w:r>
        <w:rPr>
          <w:rFonts w:ascii="Arial" w:cs="Arial" w:eastAsia="Arial" w:hAnsi="Arial"/>
          <w:sz w:val="17"/>
          <w:szCs w:val="17"/>
          <w:color w:val="auto"/>
        </w:rPr>
        <w:t>Other income primarily consists of income from enterprise public relations services, underwriting fee income, IPO subscription service charge income, currency exchange service income from clients, income from market data service and client referral income from brokers. We generate income from enterprise public relations by providing institutional clients with public relations services, including distributing company information and news and providing communication channels with investors. We generate underwriting fee income in our investment banking business primarily by providing equity underwriting to corporate issuers. We generate IPO subscription service charge from provision of new share subscription services in relation to IPOs in the Hong Kong capital market. We generate currency exchange service income from providing currency exchange services to our paying clients. We generate our income from market data service and client referral income primarily by providing fee-based market data services to users and clients and referring clients to licensed A-share brokers in China.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7"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the components of our costs by amounts and percentages of costs for the years presented:</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 Ended December 31,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160" w:type="dxa"/>
            <w:vAlign w:val="bottom"/>
            <w:tcBorders>
              <w:bottom w:val="single" w:sz="8" w:color="auto"/>
            </w:tcBorders>
            <w:gridSpan w:val="4"/>
          </w:tcPr>
          <w:p>
            <w:pPr>
              <w:jc w:val="right"/>
              <w:ind w:right="351"/>
              <w:spacing w:after="0" w:line="141"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6"/>
              <w:spacing w:after="0" w:line="141"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600" w:type="dxa"/>
            <w:vAlign w:val="bottom"/>
            <w:tcBorders>
              <w:bottom w:val="single" w:sz="8" w:color="auto"/>
            </w:tcBorders>
            <w:gridSpan w:val="2"/>
          </w:tcPr>
          <w:p>
            <w:pPr>
              <w:ind w:left="140"/>
              <w:spacing w:after="0" w:line="141" w:lineRule="exact"/>
              <w:rPr>
                <w:sz w:val="20"/>
                <w:szCs w:val="20"/>
                <w:color w:val="auto"/>
              </w:rPr>
            </w:pPr>
            <w:r>
              <w:rPr>
                <w:rFonts w:ascii="Arial" w:cs="Arial" w:eastAsia="Arial" w:hAnsi="Arial"/>
                <w:sz w:val="14"/>
                <w:szCs w:val="14"/>
                <w:b w:val="1"/>
                <w:bCs w:val="1"/>
                <w:color w:val="auto"/>
              </w:rPr>
              <w:t>HK$</w:t>
            </w:r>
          </w:p>
        </w:tc>
        <w:tc>
          <w:tcPr>
            <w:tcW w:w="560" w:type="dxa"/>
            <w:vAlign w:val="bottom"/>
            <w:tcBorders>
              <w:bottom w:val="single" w:sz="8" w:color="auto"/>
            </w:tcBorders>
            <w:gridSpan w:val="2"/>
          </w:tcPr>
          <w:p>
            <w:pPr>
              <w:jc w:val="right"/>
              <w:ind w:right="51"/>
              <w:spacing w:after="0" w:line="141"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9"/>
              </w:rPr>
              <w:t>HK$</w:t>
            </w:r>
          </w:p>
        </w:tc>
        <w:tc>
          <w:tcPr>
            <w:tcW w:w="720" w:type="dxa"/>
            <w:vAlign w:val="bottom"/>
            <w:tcBorders>
              <w:bottom w:val="single" w:sz="8" w:color="auto"/>
            </w:tcBorders>
            <w:gridSpan w:val="2"/>
          </w:tcPr>
          <w:p>
            <w:pPr>
              <w:ind w:left="140"/>
              <w:spacing w:after="0" w:line="141" w:lineRule="exact"/>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tcPr>
          <w:p>
            <w:pPr>
              <w:jc w:val="right"/>
              <w:ind w:right="74"/>
              <w:spacing w:after="0" w:line="141"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880" w:type="dxa"/>
            <w:vAlign w:val="bottom"/>
            <w:gridSpan w:val="9"/>
          </w:tcPr>
          <w:p>
            <w:pPr>
              <w:jc w:val="center"/>
              <w:ind w:left="378"/>
              <w:spacing w:after="0" w:line="141" w:lineRule="exact"/>
              <w:rPr>
                <w:sz w:val="20"/>
                <w:szCs w:val="20"/>
                <w:color w:val="auto"/>
              </w:rPr>
            </w:pPr>
            <w:r>
              <w:rPr>
                <w:rFonts w:ascii="Arial" w:cs="Arial" w:eastAsia="Arial" w:hAnsi="Arial"/>
                <w:sz w:val="14"/>
                <w:szCs w:val="14"/>
                <w:b w:val="1"/>
                <w:bCs w:val="1"/>
                <w:color w:val="auto"/>
                <w:w w:val="89"/>
              </w:rPr>
              <w:t>(in thousands, except for percentages)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Brokerage commission and handling charge expenses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18,730</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41.5</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36,777</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4,707</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3,459</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19,879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Processing and servicing costs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22,880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52,446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6,713</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45,069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109,102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13,964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Brokerage commission and handling charge expenses</w:t>
      </w:r>
    </w:p>
    <w:p>
      <w:pPr>
        <w:spacing w:after="0" w:line="115"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color w:val="auto"/>
        </w:rPr>
        <w:t>Brokerage commission and handling charge expenses consist of fees charged by executing brokers in the U.S. as we transact with them, expenses charged by stock exchanges or executing brokers for our use of their clearing and settlement systems and expenses charged by commercial banks or stock exchanges for providing clearing and settlement services in connection with IPO subscriptions.</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Interest expenses</w:t>
      </w:r>
    </w:p>
    <w:p>
      <w:pPr>
        <w:spacing w:after="0" w:line="115" w:lineRule="exact"/>
        <w:rPr>
          <w:sz w:val="20"/>
          <w:szCs w:val="20"/>
          <w:color w:val="auto"/>
        </w:rPr>
      </w:pPr>
    </w:p>
    <w:p>
      <w:pPr>
        <w:ind w:left="240" w:right="480" w:firstLine="438"/>
        <w:spacing w:after="0" w:line="275" w:lineRule="auto"/>
        <w:rPr>
          <w:sz w:val="20"/>
          <w:szCs w:val="20"/>
          <w:color w:val="auto"/>
        </w:rPr>
      </w:pPr>
      <w:r>
        <w:rPr>
          <w:rFonts w:ascii="Arial" w:cs="Arial" w:eastAsia="Arial" w:hAnsi="Arial"/>
          <w:sz w:val="18"/>
          <w:szCs w:val="18"/>
          <w:color w:val="auto"/>
        </w:rPr>
        <w:t>Interest expenses primarily consist of interest expenses of borrowings from commercial banks, other licensed financial institutions and other parties to fund our margin financing and IPO financing businesses.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Processing and servicing costs</w:t>
      </w:r>
    </w:p>
    <w:p>
      <w:pPr>
        <w:spacing w:after="0" w:line="115" w:lineRule="exact"/>
        <w:rPr>
          <w:sz w:val="20"/>
          <w:szCs w:val="20"/>
          <w:color w:val="auto"/>
        </w:rPr>
      </w:pPr>
    </w:p>
    <w:p>
      <w:pPr>
        <w:ind w:left="240" w:right="40" w:firstLine="438"/>
        <w:spacing w:after="0" w:line="275" w:lineRule="auto"/>
        <w:rPr>
          <w:sz w:val="20"/>
          <w:szCs w:val="20"/>
          <w:color w:val="auto"/>
        </w:rPr>
      </w:pPr>
      <w:r>
        <w:rPr>
          <w:rFonts w:ascii="Arial" w:cs="Arial" w:eastAsia="Arial" w:hAnsi="Arial"/>
          <w:sz w:val="18"/>
          <w:szCs w:val="18"/>
          <w:color w:val="auto"/>
        </w:rPr>
        <w:t>Processing and servicing costs consist of market data and information fees, data transmission fees, cloud service fees and SMS service fees paid to stock exchanges and data and other service providers.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expenses</w:t>
      </w:r>
    </w:p>
    <w:p>
      <w:pPr>
        <w:spacing w:after="0" w:line="115" w:lineRule="exact"/>
        <w:rPr>
          <w:sz w:val="20"/>
          <w:szCs w:val="20"/>
          <w:color w:val="auto"/>
        </w:rPr>
      </w:pPr>
    </w:p>
    <w:p>
      <w:pPr>
        <w:ind w:left="240" w:right="740" w:firstLine="438"/>
        <w:spacing w:after="0" w:line="275" w:lineRule="auto"/>
        <w:rPr>
          <w:sz w:val="20"/>
          <w:szCs w:val="20"/>
          <w:color w:val="auto"/>
        </w:rPr>
      </w:pPr>
      <w:r>
        <w:rPr>
          <w:rFonts w:ascii="Arial" w:cs="Arial" w:eastAsia="Arial" w:hAnsi="Arial"/>
          <w:sz w:val="18"/>
          <w:szCs w:val="18"/>
          <w:color w:val="auto"/>
        </w:rPr>
        <w:t>The following table sets forth the components of our operating expenses by amounts and percentages of operating expenses for the years presented:</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3"/>
              </w:rPr>
              <w:t>For the 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800" w:type="dxa"/>
            <w:vAlign w:val="bottom"/>
            <w:tcBorders>
              <w:bottom w:val="single" w:sz="8" w:color="auto"/>
            </w:tcBorders>
            <w:gridSpan w:val="3"/>
          </w:tcPr>
          <w:p>
            <w:pPr>
              <w:jc w:val="right"/>
              <w:spacing w:after="0" w:line="141"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1"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660" w:type="dxa"/>
            <w:vAlign w:val="bottom"/>
            <w:tcBorders>
              <w:bottom w:val="single" w:sz="8" w:color="auto"/>
            </w:tcBorders>
            <w:gridSpan w:val="2"/>
          </w:tcPr>
          <w:p>
            <w:pPr>
              <w:ind w:left="160"/>
              <w:spacing w:after="0" w:line="141" w:lineRule="exact"/>
              <w:rPr>
                <w:sz w:val="20"/>
                <w:szCs w:val="20"/>
                <w:color w:val="auto"/>
              </w:rPr>
            </w:pPr>
            <w:r>
              <w:rPr>
                <w:rFonts w:ascii="Arial" w:cs="Arial" w:eastAsia="Arial" w:hAnsi="Arial"/>
                <w:sz w:val="14"/>
                <w:szCs w:val="14"/>
                <w:b w:val="1"/>
                <w:bCs w:val="1"/>
                <w:color w:val="auto"/>
              </w:rPr>
              <w:t>HK$</w:t>
            </w:r>
          </w:p>
        </w:tc>
        <w:tc>
          <w:tcPr>
            <w:tcW w:w="600" w:type="dxa"/>
            <w:vAlign w:val="bottom"/>
            <w:tcBorders>
              <w:bottom w:val="single" w:sz="8" w:color="auto"/>
            </w:tcBorders>
            <w:gridSpan w:val="2"/>
          </w:tcPr>
          <w:p>
            <w:pPr>
              <w:jc w:val="right"/>
              <w:ind w:right="71"/>
              <w:spacing w:after="0" w:line="141"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80"/>
              <w:spacing w:after="0" w:line="141" w:lineRule="exact"/>
              <w:rPr>
                <w:sz w:val="20"/>
                <w:szCs w:val="20"/>
                <w:color w:val="auto"/>
              </w:rPr>
            </w:pPr>
            <w:r>
              <w:rPr>
                <w:rFonts w:ascii="Arial" w:cs="Arial" w:eastAsia="Arial" w:hAnsi="Arial"/>
                <w:sz w:val="14"/>
                <w:szCs w:val="14"/>
                <w:b w:val="1"/>
                <w:bCs w:val="1"/>
                <w:color w:val="auto"/>
              </w:rPr>
              <w:t>HK$</w:t>
            </w:r>
          </w:p>
        </w:tc>
        <w:tc>
          <w:tcPr>
            <w:tcW w:w="720" w:type="dxa"/>
            <w:vAlign w:val="bottom"/>
            <w:tcBorders>
              <w:bottom w:val="single" w:sz="8" w:color="auto"/>
            </w:tcBorders>
            <w:gridSpan w:val="2"/>
          </w:tcPr>
          <w:p>
            <w:pPr>
              <w:jc w:val="right"/>
              <w:ind w:right="320"/>
              <w:spacing w:after="0" w:line="141" w:lineRule="exact"/>
              <w:rPr>
                <w:sz w:val="20"/>
                <w:szCs w:val="20"/>
                <w:color w:val="auto"/>
              </w:rPr>
            </w:pPr>
            <w:r>
              <w:rPr>
                <w:rFonts w:ascii="Arial" w:cs="Arial" w:eastAsia="Arial" w:hAnsi="Arial"/>
                <w:sz w:val="14"/>
                <w:szCs w:val="14"/>
                <w:b w:val="1"/>
                <w:bCs w:val="1"/>
                <w:color w:val="auto"/>
              </w:rPr>
              <w:t>US$</w:t>
            </w:r>
          </w:p>
        </w:tc>
        <w:tc>
          <w:tcPr>
            <w:tcW w:w="480" w:type="dxa"/>
            <w:vAlign w:val="bottom"/>
            <w:tcBorders>
              <w:bottom w:val="single" w:sz="8" w:color="auto"/>
            </w:tcBorders>
          </w:tcPr>
          <w:p>
            <w:pPr>
              <w:jc w:val="right"/>
              <w:ind w:right="74"/>
              <w:spacing w:after="0" w:line="141"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960" w:type="dxa"/>
            <w:vAlign w:val="bottom"/>
            <w:gridSpan w:val="9"/>
          </w:tcPr>
          <w:p>
            <w:pPr>
              <w:jc w:val="right"/>
              <w:ind w:right="80"/>
              <w:spacing w:after="0" w:line="141" w:lineRule="exact"/>
              <w:rPr>
                <w:sz w:val="20"/>
                <w:szCs w:val="20"/>
                <w:color w:val="auto"/>
              </w:rPr>
            </w:pPr>
            <w:r>
              <w:rPr>
                <w:rFonts w:ascii="Arial" w:cs="Arial" w:eastAsia="Arial" w:hAnsi="Arial"/>
                <w:sz w:val="14"/>
                <w:szCs w:val="14"/>
                <w:b w:val="1"/>
                <w:bCs w:val="1"/>
                <w:color w:val="auto"/>
              </w:rPr>
              <w:t>(in thousands, except for percentages)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61,624</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40.4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95,526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12,227</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59,198</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41,446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31,786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57,293</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7,333</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152,608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194,265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24,865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right="180" w:firstLine="438"/>
        <w:spacing w:after="0" w:line="262"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consist of expenses related to developing service platforms,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mobile apps and other products, as well as payroll and welfare, rental expenses and other related expenses for our research and development professionals.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7"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0" w:firstLine="438"/>
        <w:spacing w:after="0" w:line="339" w:lineRule="auto"/>
        <w:rPr>
          <w:sz w:val="20"/>
          <w:szCs w:val="20"/>
          <w:color w:val="auto"/>
        </w:rPr>
      </w:pPr>
      <w:r>
        <w:rPr>
          <w:rFonts w:ascii="Arial" w:cs="Arial" w:eastAsia="Arial" w:hAnsi="Arial"/>
          <w:sz w:val="16"/>
          <w:szCs w:val="16"/>
          <w:i w:val="1"/>
          <w:iCs w:val="1"/>
          <w:color w:val="auto"/>
        </w:rPr>
        <w:t>Selling and marketing expenses</w:t>
      </w:r>
      <w:r>
        <w:rPr>
          <w:rFonts w:ascii="Arial" w:cs="Arial" w:eastAsia="Arial" w:hAnsi="Arial"/>
          <w:sz w:val="16"/>
          <w:szCs w:val="16"/>
          <w:color w:val="auto"/>
        </w:rPr>
        <w:t>. Selling and marketing expenses consist primarily of advertising and promotion costs, payroll, rental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for selling and marketing personnel. Advertising costs primarily consist of costs of online advertising and offline promotional events.</w:t>
      </w:r>
    </w:p>
    <w:p>
      <w:pPr>
        <w:spacing w:after="0" w:line="125" w:lineRule="exact"/>
        <w:rPr>
          <w:sz w:val="20"/>
          <w:szCs w:val="20"/>
          <w:color w:val="auto"/>
        </w:rPr>
      </w:pPr>
    </w:p>
    <w:p>
      <w:pPr>
        <w:jc w:val="both"/>
        <w:ind w:left="240" w:right="60" w:firstLine="438"/>
        <w:spacing w:after="0" w:line="262"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consist of payroll, rental, and related expenses for employees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 general corporate functions, including senior management, finance, legal and human resources, costs associated with use of facilities and equipment, such as rental and other general corporate related expenses.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Taxation</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Cayman Islands</w:t>
      </w:r>
    </w:p>
    <w:p>
      <w:pPr>
        <w:spacing w:after="0" w:line="115" w:lineRule="exact"/>
        <w:rPr>
          <w:sz w:val="20"/>
          <w:szCs w:val="20"/>
          <w:color w:val="auto"/>
        </w:rPr>
      </w:pPr>
    </w:p>
    <w:p>
      <w:pPr>
        <w:ind w:left="240" w:right="400" w:firstLine="438"/>
        <w:spacing w:after="0" w:line="277"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Hong Kong</w:t>
      </w:r>
    </w:p>
    <w:p>
      <w:pPr>
        <w:spacing w:after="0" w:line="115" w:lineRule="exact"/>
        <w:rPr>
          <w:sz w:val="20"/>
          <w:szCs w:val="20"/>
          <w:color w:val="auto"/>
        </w:rPr>
      </w:pPr>
    </w:p>
    <w:p>
      <w:pPr>
        <w:ind w:left="240" w:firstLine="438"/>
        <w:spacing w:after="0" w:line="300" w:lineRule="auto"/>
        <w:rPr>
          <w:sz w:val="20"/>
          <w:szCs w:val="20"/>
          <w:color w:val="auto"/>
        </w:rPr>
      </w:pPr>
      <w:r>
        <w:rPr>
          <w:rFonts w:ascii="Arial" w:cs="Arial" w:eastAsia="Arial" w:hAnsi="Arial"/>
          <w:sz w:val="16"/>
          <w:szCs w:val="16"/>
          <w:color w:val="auto"/>
        </w:rPr>
        <w:t>Our subsidiaries incorporated in Hong Kong, including Futu Securities (Hong Kong) Limited, Futu Financial Limited, Futu Lending Limited, Futu Network Technology Limited and Futu Securities International (Hong Kong) Limited, are subject to 16.5% Hong Kong profit tax on their taxable income generated from operations in Hong Kong. Under the Hong Kong tax laws, we are exempted from the Hong Kong income tax on our foreign-derived income. In addition, payments of dividends from our Hong Kong subsidiary to us are not subject to any Hong Kong withholding tax.</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PRC</w:t>
      </w:r>
    </w:p>
    <w:p>
      <w:pPr>
        <w:spacing w:after="0" w:line="115" w:lineRule="exact"/>
        <w:rPr>
          <w:sz w:val="20"/>
          <w:szCs w:val="20"/>
          <w:color w:val="auto"/>
        </w:rPr>
      </w:pPr>
    </w:p>
    <w:p>
      <w:pPr>
        <w:ind w:left="240" w:right="100" w:firstLine="438"/>
        <w:spacing w:after="0" w:line="339" w:lineRule="auto"/>
        <w:rPr>
          <w:sz w:val="20"/>
          <w:szCs w:val="20"/>
          <w:color w:val="auto"/>
        </w:rPr>
      </w:pPr>
      <w:r>
        <w:rPr>
          <w:rFonts w:ascii="Arial" w:cs="Arial" w:eastAsia="Arial" w:hAnsi="Arial"/>
          <w:sz w:val="16"/>
          <w:szCs w:val="16"/>
          <w:color w:val="auto"/>
        </w:rPr>
        <w:t>Generally, our PRC subsidiaries, VIE and its subsidiary are subject to enterprise income tax on their taxable income in China at a statutory rate of 25%. The enterprise income tax is calculated based on the entity’s global income as determined under PRC tax laws and accounting standards.</w:t>
      </w:r>
    </w:p>
    <w:p>
      <w:pPr>
        <w:spacing w:after="0" w:line="125" w:lineRule="exact"/>
        <w:rPr>
          <w:sz w:val="20"/>
          <w:szCs w:val="20"/>
          <w:color w:val="auto"/>
        </w:rPr>
      </w:pPr>
    </w:p>
    <w:p>
      <w:pPr>
        <w:ind w:left="240" w:right="180" w:firstLine="438"/>
        <w:spacing w:after="0" w:line="275" w:lineRule="auto"/>
        <w:rPr>
          <w:sz w:val="20"/>
          <w:szCs w:val="20"/>
          <w:color w:val="auto"/>
        </w:rPr>
      </w:pPr>
      <w:r>
        <w:rPr>
          <w:rFonts w:ascii="Arial" w:cs="Arial" w:eastAsia="Arial" w:hAnsi="Arial"/>
          <w:sz w:val="18"/>
          <w:szCs w:val="18"/>
          <w:color w:val="auto"/>
        </w:rPr>
        <w:t>We are subject to value-added tax at a rate of 6% for the income arising from providing financial technology services to our clients in China. We are also subject to surcharges on value-added tax payments in accordance with PRC law.</w:t>
      </w:r>
    </w:p>
    <w:p>
      <w:pPr>
        <w:spacing w:after="0" w:line="170" w:lineRule="exact"/>
        <w:rPr>
          <w:sz w:val="20"/>
          <w:szCs w:val="20"/>
          <w:color w:val="auto"/>
        </w:rPr>
      </w:pPr>
    </w:p>
    <w:p>
      <w:pPr>
        <w:ind w:left="240" w:right="160" w:firstLine="438"/>
        <w:spacing w:after="0" w:line="269" w:lineRule="auto"/>
        <w:rPr>
          <w:sz w:val="20"/>
          <w:szCs w:val="20"/>
          <w:color w:val="auto"/>
        </w:rPr>
      </w:pPr>
      <w:r>
        <w:rPr>
          <w:rFonts w:ascii="Arial" w:cs="Arial" w:eastAsia="Arial" w:hAnsi="Arial"/>
          <w:sz w:val="17"/>
          <w:szCs w:val="17"/>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China and the Hong Kong Special Administrative Region on the Avoidance of Double Taxation and Prevention of Fiscal Evasion with respect to Taxes on Income and Capital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Effective from November 1, 2015, the above mentioned approval requirement has been abolished, but a Hong Kong entity is still required to file application package with the relevant tax authority, and settle the overdue taxes if the preferential tax rate of 5% is denied based on the subsequent review of the application package by the relevant tax authority.</w:t>
      </w:r>
    </w:p>
    <w:p>
      <w:pPr>
        <w:spacing w:after="0" w:line="181" w:lineRule="exact"/>
        <w:rPr>
          <w:sz w:val="20"/>
          <w:szCs w:val="20"/>
          <w:color w:val="auto"/>
        </w:rPr>
      </w:pPr>
    </w:p>
    <w:p>
      <w:pPr>
        <w:ind w:left="240" w:right="340" w:firstLine="438"/>
        <w:spacing w:after="0" w:line="275"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Enterprise Income Tax Law, it would be subject to enterprise income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7"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spacing w:after="0" w:line="339" w:lineRule="auto"/>
        <w:rPr>
          <w:sz w:val="20"/>
          <w:szCs w:val="20"/>
          <w:color w:val="auto"/>
        </w:rPr>
      </w:pPr>
      <w:r>
        <w:rPr>
          <w:rFonts w:ascii="Arial" w:cs="Arial" w:eastAsia="Arial" w:hAnsi="Arial"/>
          <w:sz w:val="16"/>
          <w:szCs w:val="16"/>
          <w:color w:val="auto"/>
        </w:rPr>
        <w:t>tax on its worldwide income at a rate of 25%. See “Risk Factors—Risks Related to Doing Business in China—We may be treated as a resident enterprise for PRC tax purposes under the PRC Enterprise Income Tax Law, and we may therefore be subject to PRC income tax on our global income.”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ind w:left="240" w:right="300" w:firstLine="438"/>
        <w:spacing w:after="0" w:line="309" w:lineRule="auto"/>
        <w:rPr>
          <w:sz w:val="20"/>
          <w:szCs w:val="20"/>
          <w:color w:val="auto"/>
        </w:rPr>
      </w:pPr>
      <w:r>
        <w:rPr>
          <w:rFonts w:ascii="Arial" w:cs="Arial" w:eastAsia="Arial" w:hAnsi="Arial"/>
          <w:sz w:val="16"/>
          <w:szCs w:val="16"/>
          <w:color w:val="auto"/>
        </w:rPr>
        <w:t>The following table sets forth a summary of our consolidated results of operations for the periods presented, both in absolute amount and as a percentage of our revenues for the periods presented. This information should be read together with our consolidated financial statements and related notes included elsewhere in this prospectus. The results of operations in any period are not necessarily indicative of our future trends.</w:t>
      </w:r>
    </w:p>
    <w:p>
      <w:pPr>
        <w:spacing w:after="0" w:line="167"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1"/>
          </w:tcPr>
          <w:p>
            <w:pPr>
              <w:jc w:val="right"/>
              <w:ind w:right="440"/>
              <w:spacing w:after="0"/>
              <w:rPr>
                <w:sz w:val="20"/>
                <w:szCs w:val="20"/>
                <w:color w:val="auto"/>
              </w:rPr>
            </w:pPr>
            <w:r>
              <w:rPr>
                <w:rFonts w:ascii="Arial" w:cs="Arial" w:eastAsia="Arial" w:hAnsi="Arial"/>
                <w:sz w:val="14"/>
                <w:szCs w:val="14"/>
                <w:b w:val="1"/>
                <w:bCs w:val="1"/>
                <w:color w:val="auto"/>
                <w:w w:val="92"/>
              </w:rPr>
              <w:t>For the Year Ended December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40" w:type="dxa"/>
            <w:vAlign w:val="bottom"/>
            <w:tcBorders>
              <w:bottom w:val="single" w:sz="8" w:color="auto"/>
            </w:tcBorders>
            <w:gridSpan w:val="4"/>
          </w:tcPr>
          <w:p>
            <w:pPr>
              <w:jc w:val="right"/>
              <w:spacing w:after="0" w:line="141"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70"/>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gridSpan w:val="3"/>
          </w:tcPr>
          <w:p>
            <w:pPr>
              <w:jc w:val="right"/>
              <w:ind w:right="250"/>
              <w:spacing w:after="0" w:line="141" w:lineRule="exact"/>
              <w:rPr>
                <w:sz w:val="20"/>
                <w:szCs w:val="20"/>
                <w:color w:val="auto"/>
              </w:rPr>
            </w:pPr>
            <w:r>
              <w:rPr>
                <w:rFonts w:ascii="Arial" w:cs="Arial" w:eastAsia="Arial" w:hAnsi="Arial"/>
                <w:sz w:val="14"/>
                <w:szCs w:val="14"/>
                <w:b w:val="1"/>
                <w:bCs w:val="1"/>
                <w:color w:val="auto"/>
              </w:rPr>
              <w:t>HK$</w:t>
            </w:r>
          </w:p>
        </w:tc>
        <w:tc>
          <w:tcPr>
            <w:tcW w:w="640" w:type="dxa"/>
            <w:vAlign w:val="bottom"/>
            <w:gridSpan w:val="3"/>
          </w:tcPr>
          <w:p>
            <w:pPr>
              <w:jc w:val="right"/>
              <w:ind w:right="114"/>
              <w:spacing w:after="0" w:line="141"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420"/>
              <w:spacing w:after="0" w:line="141" w:lineRule="exact"/>
              <w:rPr>
                <w:sz w:val="20"/>
                <w:szCs w:val="20"/>
                <w:color w:val="auto"/>
              </w:rPr>
            </w:pPr>
            <w:r>
              <w:rPr>
                <w:rFonts w:ascii="Arial" w:cs="Arial" w:eastAsia="Arial" w:hAnsi="Arial"/>
                <w:sz w:val="14"/>
                <w:szCs w:val="14"/>
                <w:b w:val="1"/>
                <w:bCs w:val="1"/>
                <w:color w:val="auto"/>
              </w:rPr>
              <w:t>HK$</w:t>
            </w:r>
          </w:p>
        </w:tc>
        <w:tc>
          <w:tcPr>
            <w:tcW w:w="200" w:type="dxa"/>
            <w:vAlign w:val="bottom"/>
          </w:tcPr>
          <w:p>
            <w:pPr>
              <w:spacing w:after="0"/>
              <w:rPr>
                <w:sz w:val="12"/>
                <w:szCs w:val="12"/>
                <w:color w:val="auto"/>
              </w:rPr>
            </w:pPr>
          </w:p>
        </w:tc>
        <w:tc>
          <w:tcPr>
            <w:tcW w:w="660" w:type="dxa"/>
            <w:vAlign w:val="bottom"/>
            <w:gridSpan w:val="3"/>
          </w:tcPr>
          <w:p>
            <w:pPr>
              <w:jc w:val="right"/>
              <w:ind w:right="400"/>
              <w:spacing w:after="0" w:line="141" w:lineRule="exact"/>
              <w:rPr>
                <w:sz w:val="20"/>
                <w:szCs w:val="20"/>
                <w:color w:val="auto"/>
              </w:rPr>
            </w:pPr>
            <w:r>
              <w:rPr>
                <w:rFonts w:ascii="Arial" w:cs="Arial" w:eastAsia="Arial" w:hAnsi="Arial"/>
                <w:sz w:val="14"/>
                <w:szCs w:val="14"/>
                <w:b w:val="1"/>
                <w:bCs w:val="1"/>
                <w:color w:val="auto"/>
                <w:w w:val="87"/>
              </w:rPr>
              <w:t>US$</w:t>
            </w:r>
          </w:p>
        </w:tc>
        <w:tc>
          <w:tcPr>
            <w:tcW w:w="500" w:type="dxa"/>
            <w:vAlign w:val="bottom"/>
          </w:tcPr>
          <w:p>
            <w:pPr>
              <w:jc w:val="right"/>
              <w:ind w:right="92"/>
              <w:spacing w:after="0" w:line="141"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160" w:type="dxa"/>
            <w:vAlign w:val="bottom"/>
            <w:tcBorders>
              <w:top w:val="single" w:sz="8" w:color="auto"/>
            </w:tcBorders>
            <w:gridSpan w:val="9"/>
          </w:tcPr>
          <w:p>
            <w:pPr>
              <w:jc w:val="right"/>
              <w:ind w:right="420"/>
              <w:spacing w:after="0" w:line="119" w:lineRule="exact"/>
              <w:rPr>
                <w:sz w:val="20"/>
                <w:szCs w:val="20"/>
                <w:color w:val="auto"/>
              </w:rPr>
            </w:pPr>
            <w:r>
              <w:rPr>
                <w:rFonts w:ascii="Arial" w:cs="Arial" w:eastAsia="Arial" w:hAnsi="Arial"/>
                <w:sz w:val="13"/>
                <w:szCs w:val="13"/>
                <w:b w:val="1"/>
                <w:bCs w:val="1"/>
                <w:color w:val="auto"/>
              </w:rPr>
              <w:t>(in thousands, except for</w:t>
            </w:r>
          </w:p>
        </w:tc>
        <w:tc>
          <w:tcPr>
            <w:tcW w:w="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percentages)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tcPr>
          <w:p>
            <w:pPr>
              <w:ind w:left="340"/>
              <w:spacing w:after="0"/>
              <w:rPr>
                <w:sz w:val="20"/>
                <w:szCs w:val="20"/>
                <w:color w:val="auto"/>
              </w:rPr>
            </w:pPr>
            <w:r>
              <w:rPr>
                <w:rFonts w:ascii="Arial" w:cs="Arial" w:eastAsia="Arial" w:hAnsi="Arial"/>
                <w:sz w:val="18"/>
                <w:szCs w:val="18"/>
                <w:color w:val="auto"/>
              </w:rPr>
              <w:t>Brokerage commission and handling charge income</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74,498</w:t>
            </w:r>
          </w:p>
        </w:tc>
        <w:tc>
          <w:tcPr>
            <w:tcW w:w="80" w:type="dxa"/>
            <w:vAlign w:val="bottom"/>
          </w:tcPr>
          <w:p>
            <w:pPr>
              <w:spacing w:after="0"/>
              <w:rPr>
                <w:sz w:val="18"/>
                <w:szCs w:val="18"/>
                <w:color w:val="auto"/>
              </w:rPr>
            </w:pPr>
          </w:p>
        </w:tc>
        <w:tc>
          <w:tcPr>
            <w:tcW w:w="860" w:type="dxa"/>
            <w:vAlign w:val="bottom"/>
            <w:gridSpan w:val="4"/>
          </w:tcPr>
          <w:p>
            <w:pPr>
              <w:jc w:val="right"/>
              <w:ind w:right="148"/>
              <w:spacing w:after="0"/>
              <w:rPr>
                <w:sz w:val="20"/>
                <w:szCs w:val="20"/>
                <w:color w:val="auto"/>
              </w:rPr>
            </w:pPr>
            <w:r>
              <w:rPr>
                <w:rFonts w:ascii="Arial" w:cs="Arial" w:eastAsia="Arial" w:hAnsi="Arial"/>
                <w:sz w:val="18"/>
                <w:szCs w:val="18"/>
                <w:color w:val="auto"/>
              </w:rPr>
              <w:t>85.6</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184,918</w:t>
            </w: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23,669</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5,795</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105,872</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13,551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3"/>
          </w:tcPr>
          <w:p>
            <w:pPr>
              <w:ind w:left="340"/>
              <w:spacing w:after="0"/>
              <w:rPr>
                <w:sz w:val="20"/>
                <w:szCs w:val="20"/>
                <w:color w:val="auto"/>
              </w:rPr>
            </w:pPr>
            <w:r>
              <w:rPr>
                <w:rFonts w:ascii="Arial" w:cs="Arial" w:eastAsia="Arial" w:hAnsi="Arial"/>
                <w:sz w:val="18"/>
                <w:szCs w:val="18"/>
                <w:color w:val="auto"/>
              </w:rPr>
              <w:t>Other income</w:t>
            </w:r>
          </w:p>
        </w:tc>
        <w:tc>
          <w:tcPr>
            <w:tcW w:w="21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20,873</w:t>
            </w:r>
          </w:p>
        </w:tc>
        <w:tc>
          <w:tcPr>
            <w:tcW w:w="200" w:type="dxa"/>
            <w:vAlign w:val="bottom"/>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2,672</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87,015</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311,663</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39,892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Costs</w:t>
            </w:r>
            <w:r>
              <w:rPr>
                <w:rFonts w:ascii="Arial" w:cs="Arial" w:eastAsia="Arial" w:hAnsi="Arial"/>
                <w:sz w:val="15"/>
                <w:szCs w:val="15"/>
                <w:color w:val="auto"/>
              </w:rPr>
              <w:t>(1)</w:t>
            </w: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Brokerage commission and handling charge expenses</w:t>
            </w:r>
          </w:p>
        </w:tc>
        <w:tc>
          <w:tcPr>
            <w:tcW w:w="2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8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(21.5)</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(36,777)</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(4,707)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tcPr>
          <w:p>
            <w:pPr>
              <w:ind w:left="340"/>
              <w:spacing w:after="0"/>
              <w:rPr>
                <w:sz w:val="20"/>
                <w:szCs w:val="20"/>
                <w:color w:val="auto"/>
              </w:rPr>
            </w:pPr>
            <w:r>
              <w:rPr>
                <w:rFonts w:ascii="Arial" w:cs="Arial" w:eastAsia="Arial" w:hAnsi="Arial"/>
                <w:sz w:val="18"/>
                <w:szCs w:val="18"/>
                <w:color w:val="auto"/>
              </w:rPr>
              <w:t>Interest expenses</w:t>
            </w:r>
          </w:p>
        </w:tc>
        <w:tc>
          <w:tcPr>
            <w:tcW w:w="2920" w:type="dxa"/>
            <w:vAlign w:val="bottom"/>
            <w:gridSpan w:val="4"/>
          </w:tcPr>
          <w:p>
            <w:pPr>
              <w:jc w:val="right"/>
              <w:spacing w:after="0"/>
              <w:rPr>
                <w:sz w:val="20"/>
                <w:szCs w:val="20"/>
                <w:color w:val="auto"/>
              </w:rPr>
            </w:pPr>
            <w:r>
              <w:rPr>
                <w:rFonts w:ascii="Arial" w:cs="Arial" w:eastAsia="Arial" w:hAnsi="Arial"/>
                <w:sz w:val="18"/>
                <w:szCs w:val="18"/>
                <w:color w:val="auto"/>
              </w:rPr>
              <w:t>(3,459)</w:t>
            </w:r>
          </w:p>
        </w:tc>
        <w:tc>
          <w:tcPr>
            <w:tcW w:w="860" w:type="dxa"/>
            <w:vAlign w:val="bottom"/>
            <w:gridSpan w:val="4"/>
          </w:tcPr>
          <w:p>
            <w:pPr>
              <w:jc w:val="right"/>
              <w:ind w:right="88"/>
              <w:spacing w:after="0"/>
              <w:rPr>
                <w:sz w:val="20"/>
                <w:szCs w:val="20"/>
                <w:color w:val="auto"/>
              </w:rPr>
            </w:pPr>
            <w:r>
              <w:rPr>
                <w:rFonts w:ascii="Arial" w:cs="Arial" w:eastAsia="Arial" w:hAnsi="Arial"/>
                <w:sz w:val="18"/>
                <w:szCs w:val="18"/>
                <w:color w:val="auto"/>
              </w:rPr>
              <w:t>(4.0)</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(19,879)</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(2,544)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Processing and servicing costs</w:t>
            </w:r>
          </w:p>
        </w:tc>
        <w:tc>
          <w:tcPr>
            <w:tcW w:w="2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(22,880)</w:t>
            </w:r>
          </w:p>
        </w:tc>
        <w:tc>
          <w:tcPr>
            <w:tcW w:w="8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(26.3)</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(52,446)</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(6,713)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4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costs</w:t>
            </w:r>
          </w:p>
        </w:tc>
        <w:tc>
          <w:tcPr>
            <w:tcW w:w="21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4"/>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(45,069)</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gridSpan w:val="3"/>
          </w:tcPr>
          <w:p>
            <w:pPr>
              <w:jc w:val="right"/>
              <w:ind w:right="88"/>
              <w:spacing w:after="0"/>
              <w:rPr>
                <w:sz w:val="20"/>
                <w:szCs w:val="20"/>
                <w:color w:val="auto"/>
              </w:rPr>
            </w:pPr>
            <w:r>
              <w:rPr>
                <w:rFonts w:ascii="Arial" w:cs="Arial" w:eastAsia="Arial" w:hAnsi="Arial"/>
                <w:sz w:val="18"/>
                <w:szCs w:val="18"/>
                <w:b w:val="1"/>
                <w:bCs w:val="1"/>
                <w:color w:val="auto"/>
              </w:rPr>
              <w:t>(51.8)</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(109,102)</w:t>
            </w:r>
          </w:p>
        </w:tc>
        <w:tc>
          <w:tcPr>
            <w:tcW w:w="20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(13,964)</w:t>
            </w:r>
          </w:p>
        </w:tc>
        <w:tc>
          <w:tcPr>
            <w:tcW w:w="2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gross profit</w:t>
            </w:r>
          </w:p>
        </w:tc>
        <w:tc>
          <w:tcPr>
            <w:tcW w:w="2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41,946</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48.2</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202,561</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25,928</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65.0</w:t>
            </w:r>
          </w:p>
        </w:tc>
        <w:tc>
          <w:tcPr>
            <w:tcW w:w="0" w:type="dxa"/>
            <w:vAlign w:val="bottom"/>
          </w:tcPr>
          <w:p>
            <w:pPr>
              <w:spacing w:after="0"/>
              <w:rPr>
                <w:sz w:val="1"/>
                <w:szCs w:val="1"/>
                <w:color w:val="auto"/>
              </w:rPr>
            </w:pPr>
          </w:p>
        </w:tc>
      </w:tr>
      <w:tr>
        <w:trPr>
          <w:trHeight w:val="322"/>
        </w:trPr>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Operating expenses</w:t>
            </w: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(1)</w:t>
            </w:r>
          </w:p>
        </w:tc>
        <w:tc>
          <w:tcPr>
            <w:tcW w:w="2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(61,624)</w:t>
            </w:r>
          </w:p>
        </w:tc>
        <w:tc>
          <w:tcPr>
            <w:tcW w:w="8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(70.8)</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(95,526)</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(12,227)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tcPr>
          <w:p>
            <w:pPr>
              <w:ind w:left="340"/>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5"/>
                <w:szCs w:val="15"/>
                <w:color w:val="auto"/>
              </w:rPr>
              <w:t>(1)</w:t>
            </w:r>
          </w:p>
        </w:tc>
        <w:tc>
          <w:tcPr>
            <w:tcW w:w="2920" w:type="dxa"/>
            <w:vAlign w:val="bottom"/>
            <w:gridSpan w:val="4"/>
          </w:tcPr>
          <w:p>
            <w:pPr>
              <w:jc w:val="right"/>
              <w:spacing w:after="0"/>
              <w:rPr>
                <w:sz w:val="20"/>
                <w:szCs w:val="20"/>
                <w:color w:val="auto"/>
              </w:rPr>
            </w:pPr>
            <w:r>
              <w:rPr>
                <w:rFonts w:ascii="Arial" w:cs="Arial" w:eastAsia="Arial" w:hAnsi="Arial"/>
                <w:sz w:val="18"/>
                <w:szCs w:val="18"/>
                <w:color w:val="auto"/>
              </w:rPr>
              <w:t>(59,198)</w:t>
            </w:r>
          </w:p>
        </w:tc>
        <w:tc>
          <w:tcPr>
            <w:tcW w:w="860" w:type="dxa"/>
            <w:vAlign w:val="bottom"/>
            <w:gridSpan w:val="4"/>
          </w:tcPr>
          <w:p>
            <w:pPr>
              <w:jc w:val="right"/>
              <w:ind w:right="88"/>
              <w:spacing w:after="0"/>
              <w:rPr>
                <w:sz w:val="20"/>
                <w:szCs w:val="20"/>
                <w:color w:val="auto"/>
              </w:rPr>
            </w:pPr>
            <w:r>
              <w:rPr>
                <w:rFonts w:ascii="Arial" w:cs="Arial" w:eastAsia="Arial" w:hAnsi="Arial"/>
                <w:sz w:val="18"/>
                <w:szCs w:val="18"/>
                <w:color w:val="auto"/>
              </w:rPr>
              <w:t>(68.0)</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(41,446)</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(5,305)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2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(31,786)</w:t>
            </w:r>
          </w:p>
        </w:tc>
        <w:tc>
          <w:tcPr>
            <w:tcW w:w="8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(36.6)</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(57,293)</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(7,333)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4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21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80" w:type="dxa"/>
            <w:vAlign w:val="bottom"/>
            <w:gridSpan w:val="4"/>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0"/>
              </w:rPr>
              <w:t>(152,608)</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gridSpan w:val="3"/>
          </w:tcPr>
          <w:p>
            <w:pPr>
              <w:jc w:val="right"/>
              <w:ind w:right="88"/>
              <w:spacing w:after="0"/>
              <w:rPr>
                <w:sz w:val="20"/>
                <w:szCs w:val="20"/>
                <w:color w:val="auto"/>
              </w:rPr>
            </w:pPr>
            <w:r>
              <w:rPr>
                <w:rFonts w:ascii="Arial" w:cs="Arial" w:eastAsia="Arial" w:hAnsi="Arial"/>
                <w:sz w:val="18"/>
                <w:szCs w:val="18"/>
                <w:b w:val="1"/>
                <w:bCs w:val="1"/>
                <w:color w:val="auto"/>
                <w:w w:val="98"/>
              </w:rPr>
              <w:t>(175.4)</w:t>
            </w: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(194,265)</w:t>
            </w:r>
          </w:p>
        </w:tc>
        <w:tc>
          <w:tcPr>
            <w:tcW w:w="20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(24,865)</w:t>
            </w:r>
          </w:p>
        </w:tc>
        <w:tc>
          <w:tcPr>
            <w:tcW w:w="2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Others, net</w:t>
            </w:r>
          </w:p>
        </w:tc>
        <w:tc>
          <w:tcPr>
            <w:tcW w:w="2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8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(1.2)</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(4,918)</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3"/>
        </w:trPr>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(Loss)/income before income tax</w:t>
            </w:r>
          </w:p>
        </w:tc>
        <w:tc>
          <w:tcPr>
            <w:tcW w:w="2920" w:type="dxa"/>
            <w:vAlign w:val="bottom"/>
            <w:gridSpan w:val="4"/>
          </w:tcPr>
          <w:p>
            <w:pPr>
              <w:jc w:val="right"/>
              <w:spacing w:after="0"/>
              <w:rPr>
                <w:sz w:val="20"/>
                <w:szCs w:val="20"/>
                <w:color w:val="auto"/>
              </w:rPr>
            </w:pPr>
            <w:r>
              <w:rPr>
                <w:rFonts w:ascii="Arial" w:cs="Arial" w:eastAsia="Arial" w:hAnsi="Arial"/>
                <w:sz w:val="18"/>
                <w:szCs w:val="18"/>
                <w:b w:val="1"/>
                <w:bCs w:val="1"/>
                <w:color w:val="auto"/>
              </w:rPr>
              <w:t>(111,747)</w:t>
            </w:r>
          </w:p>
        </w:tc>
        <w:tc>
          <w:tcPr>
            <w:tcW w:w="860" w:type="dxa"/>
            <w:vAlign w:val="bottom"/>
            <w:gridSpan w:val="4"/>
          </w:tcPr>
          <w:p>
            <w:pPr>
              <w:jc w:val="right"/>
              <w:ind w:right="88"/>
              <w:spacing w:after="0"/>
              <w:rPr>
                <w:sz w:val="20"/>
                <w:szCs w:val="20"/>
                <w:color w:val="auto"/>
              </w:rPr>
            </w:pPr>
            <w:r>
              <w:rPr>
                <w:rFonts w:ascii="Arial" w:cs="Arial" w:eastAsia="Arial" w:hAnsi="Arial"/>
                <w:sz w:val="18"/>
                <w:szCs w:val="18"/>
                <w:b w:val="1"/>
                <w:bCs w:val="1"/>
                <w:color w:val="auto"/>
              </w:rPr>
              <w:t>(128.4)</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3,378</w:t>
            </w:r>
          </w:p>
        </w:tc>
        <w:tc>
          <w:tcPr>
            <w:tcW w:w="8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434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2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13,276</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15.3</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(11,480)</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(1,469)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2"/>
        </w:trPr>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Net loss</w:t>
            </w:r>
          </w:p>
        </w:tc>
        <w:tc>
          <w:tcPr>
            <w:tcW w:w="2920" w:type="dxa"/>
            <w:vAlign w:val="bottom"/>
            <w:gridSpan w:val="4"/>
          </w:tcPr>
          <w:p>
            <w:pPr>
              <w:jc w:val="right"/>
              <w:spacing w:after="0"/>
              <w:rPr>
                <w:sz w:val="20"/>
                <w:szCs w:val="20"/>
                <w:color w:val="auto"/>
              </w:rPr>
            </w:pPr>
            <w:r>
              <w:rPr>
                <w:rFonts w:ascii="Arial" w:cs="Arial" w:eastAsia="Arial" w:hAnsi="Arial"/>
                <w:sz w:val="18"/>
                <w:szCs w:val="18"/>
                <w:b w:val="1"/>
                <w:bCs w:val="1"/>
                <w:color w:val="auto"/>
              </w:rPr>
              <w:t>(98,471)</w:t>
            </w:r>
          </w:p>
        </w:tc>
        <w:tc>
          <w:tcPr>
            <w:tcW w:w="860" w:type="dxa"/>
            <w:vAlign w:val="bottom"/>
            <w:gridSpan w:val="4"/>
          </w:tcPr>
          <w:p>
            <w:pPr>
              <w:jc w:val="right"/>
              <w:ind w:right="88"/>
              <w:spacing w:after="0"/>
              <w:rPr>
                <w:sz w:val="20"/>
                <w:szCs w:val="20"/>
                <w:color w:val="auto"/>
              </w:rPr>
            </w:pPr>
            <w:r>
              <w:rPr>
                <w:rFonts w:ascii="Arial" w:cs="Arial" w:eastAsia="Arial" w:hAnsi="Arial"/>
                <w:sz w:val="18"/>
                <w:szCs w:val="18"/>
                <w:b w:val="1"/>
                <w:bCs w:val="1"/>
                <w:color w:val="auto"/>
              </w:rPr>
              <w:t>(113.2)</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(8,102)</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(1,035)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780" w:type="dxa"/>
            <w:vAlign w:val="bottom"/>
            <w:gridSpan w:val="4"/>
          </w:tcPr>
          <w:p>
            <w:pPr>
              <w:spacing w:after="0"/>
              <w:rPr>
                <w:sz w:val="20"/>
                <w:szCs w:val="20"/>
                <w:color w:val="auto"/>
              </w:rPr>
            </w:pPr>
            <w:r>
              <w:rPr>
                <w:rFonts w:ascii="Arial" w:cs="Arial" w:eastAsia="Arial" w:hAnsi="Arial"/>
                <w:sz w:val="14"/>
                <w:szCs w:val="14"/>
                <w:color w:val="auto"/>
              </w:rPr>
              <w:t>Note:</w:t>
            </w:r>
          </w:p>
        </w:tc>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80" w:type="dxa"/>
            <w:vAlign w:val="bottom"/>
            <w:gridSpan w:val="4"/>
          </w:tcPr>
          <w:p>
            <w:pPr>
              <w:spacing w:after="0"/>
              <w:rPr>
                <w:sz w:val="20"/>
                <w:szCs w:val="20"/>
                <w:color w:val="auto"/>
              </w:rPr>
            </w:pPr>
            <w:r>
              <w:rPr>
                <w:rFonts w:ascii="Arial" w:cs="Arial" w:eastAsia="Arial" w:hAnsi="Arial"/>
                <w:sz w:val="14"/>
                <w:szCs w:val="14"/>
                <w:color w:val="auto"/>
              </w:rPr>
              <w:t>(1)  Share-based compensation expenses were allocated as follows:</w:t>
            </w:r>
          </w:p>
        </w:tc>
        <w:tc>
          <w:tcPr>
            <w:tcW w:w="2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12"/>
          </w:tcPr>
          <w:p>
            <w:pPr>
              <w:jc w:val="center"/>
              <w:ind w:right="400"/>
              <w:spacing w:after="0"/>
              <w:rPr>
                <w:sz w:val="20"/>
                <w:szCs w:val="20"/>
                <w:color w:val="auto"/>
              </w:rPr>
            </w:pPr>
            <w:r>
              <w:rPr>
                <w:rFonts w:ascii="Arial" w:cs="Arial" w:eastAsia="Arial" w:hAnsi="Arial"/>
                <w:sz w:val="14"/>
                <w:szCs w:val="14"/>
                <w:b w:val="1"/>
                <w:bCs w:val="1"/>
                <w:color w:val="auto"/>
                <w:w w:val="93"/>
              </w:rPr>
              <w:t>For the Year Ended December 31,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360" w:type="dxa"/>
            <w:vAlign w:val="bottom"/>
            <w:tcBorders>
              <w:top w:val="single" w:sz="8" w:color="auto"/>
            </w:tcBorders>
            <w:gridSpan w:val="3"/>
          </w:tcPr>
          <w:p>
            <w:pPr>
              <w:jc w:val="right"/>
              <w:spacing w:after="0" w:line="141" w:lineRule="exact"/>
              <w:rPr>
                <w:sz w:val="20"/>
                <w:szCs w:val="20"/>
                <w:color w:val="auto"/>
              </w:rPr>
            </w:pPr>
            <w:r>
              <w:rPr>
                <w:rFonts w:ascii="Arial" w:cs="Arial" w:eastAsia="Arial" w:hAnsi="Arial"/>
                <w:sz w:val="14"/>
                <w:szCs w:val="14"/>
                <w:b w:val="1"/>
                <w:bCs w:val="1"/>
                <w:color w:val="auto"/>
                <w:w w:val="89"/>
              </w:rPr>
              <w:t>2016</w:t>
            </w: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HK$</w:t>
            </w:r>
          </w:p>
        </w:tc>
        <w:tc>
          <w:tcPr>
            <w:tcW w:w="5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HK$</w:t>
            </w: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30"/>
              <w:spacing w:after="0" w:line="119" w:lineRule="exact"/>
              <w:rPr>
                <w:sz w:val="20"/>
                <w:szCs w:val="20"/>
                <w:color w:val="auto"/>
              </w:rPr>
            </w:pPr>
            <w:r>
              <w:rPr>
                <w:rFonts w:ascii="Arial" w:cs="Arial" w:eastAsia="Arial" w:hAnsi="Arial"/>
                <w:sz w:val="13"/>
                <w:szCs w:val="13"/>
                <w:b w:val="1"/>
                <w:bCs w:val="1"/>
                <w:color w:val="auto"/>
              </w:rPr>
              <w:t>US$</w:t>
            </w:r>
          </w:p>
        </w:tc>
        <w:tc>
          <w:tcPr>
            <w:tcW w:w="26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Selling and marketing expenses</w:t>
            </w:r>
          </w:p>
        </w:tc>
        <w:tc>
          <w:tcPr>
            <w:tcW w:w="2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261</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161</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00" w:type="dxa"/>
            <w:vAlign w:val="bottom"/>
            <w:gridSpan w:val="2"/>
          </w:tcPr>
          <w:p>
            <w:pPr>
              <w:spacing w:after="0" w:line="148" w:lineRule="exact"/>
              <w:rPr>
                <w:sz w:val="20"/>
                <w:szCs w:val="20"/>
                <w:color w:val="auto"/>
              </w:rPr>
            </w:pPr>
            <w:r>
              <w:rPr>
                <w:rFonts w:ascii="Arial" w:cs="Arial" w:eastAsia="Arial" w:hAnsi="Arial"/>
                <w:sz w:val="14"/>
                <w:szCs w:val="14"/>
                <w:color w:val="auto"/>
              </w:rPr>
              <w:t>Research and development expenses</w:t>
            </w:r>
          </w:p>
        </w:tc>
        <w:tc>
          <w:tcPr>
            <w:tcW w:w="3200" w:type="dxa"/>
            <w:vAlign w:val="bottom"/>
            <w:gridSpan w:val="6"/>
          </w:tcPr>
          <w:p>
            <w:pPr>
              <w:jc w:val="right"/>
              <w:spacing w:after="0" w:line="148" w:lineRule="exact"/>
              <w:rPr>
                <w:sz w:val="20"/>
                <w:szCs w:val="20"/>
                <w:color w:val="auto"/>
              </w:rPr>
            </w:pPr>
            <w:r>
              <w:rPr>
                <w:rFonts w:ascii="Arial" w:cs="Arial" w:eastAsia="Arial" w:hAnsi="Arial"/>
                <w:sz w:val="14"/>
                <w:szCs w:val="14"/>
                <w:color w:val="auto"/>
              </w:rPr>
              <w:t>8,335</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8,854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1,133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9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General and administrative expenses</w:t>
            </w:r>
          </w:p>
        </w:tc>
        <w:tc>
          <w:tcPr>
            <w:tcW w:w="2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559</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754</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96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60" w:type="dxa"/>
            <w:vAlign w:val="bottom"/>
            <w:gridSpan w:val="3"/>
          </w:tcPr>
          <w:p>
            <w:pPr>
              <w:ind w:left="860"/>
              <w:spacing w:after="0" w:line="155" w:lineRule="exact"/>
              <w:rPr>
                <w:sz w:val="20"/>
                <w:szCs w:val="20"/>
                <w:color w:val="auto"/>
              </w:rPr>
            </w:pPr>
            <w:r>
              <w:rPr>
                <w:rFonts w:ascii="Arial" w:cs="Arial" w:eastAsia="Arial" w:hAnsi="Arial"/>
                <w:sz w:val="14"/>
                <w:szCs w:val="14"/>
                <w:b w:val="1"/>
                <w:bCs w:val="1"/>
                <w:color w:val="auto"/>
              </w:rPr>
              <w:t>Total</w:t>
            </w:r>
          </w:p>
        </w:tc>
        <w:tc>
          <w:tcPr>
            <w:tcW w:w="2840" w:type="dxa"/>
            <w:vAlign w:val="bottom"/>
            <w:gridSpan w:val="3"/>
          </w:tcPr>
          <w:p>
            <w:pPr>
              <w:spacing w:after="0"/>
              <w:rPr>
                <w:sz w:val="13"/>
                <w:szCs w:val="13"/>
                <w:color w:val="auto"/>
              </w:rPr>
            </w:pPr>
          </w:p>
        </w:tc>
        <w:tc>
          <w:tcPr>
            <w:tcW w:w="3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1"/>
              </w:rPr>
              <w:t>9,155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9,769</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1,250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00" w:type="dxa"/>
            <w:vAlign w:val="bottom"/>
            <w:vMerge w:val="restart"/>
          </w:tcPr>
          <w:p>
            <w:pPr>
              <w:jc w:val="right"/>
              <w:ind w:right="1232"/>
              <w:spacing w:after="0"/>
              <w:rPr>
                <w:sz w:val="20"/>
                <w:szCs w:val="20"/>
                <w:color w:val="auto"/>
              </w:rPr>
            </w:pPr>
            <w:r>
              <w:rPr>
                <w:rFonts w:ascii="Arial" w:cs="Arial" w:eastAsia="Arial" w:hAnsi="Arial"/>
                <w:sz w:val="18"/>
                <w:szCs w:val="18"/>
                <w:color w:val="auto"/>
              </w:rPr>
              <w:t>80</w:t>
            </w: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7"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ind w:left="240" w:right="120" w:firstLine="438"/>
        <w:spacing w:after="0" w:line="262" w:lineRule="auto"/>
        <w:rPr>
          <w:sz w:val="20"/>
          <w:szCs w:val="20"/>
          <w:color w:val="auto"/>
        </w:rPr>
      </w:pPr>
      <w:r>
        <w:rPr>
          <w:rFonts w:ascii="Arial" w:cs="Arial" w:eastAsia="Arial" w:hAnsi="Arial"/>
          <w:sz w:val="18"/>
          <w:szCs w:val="18"/>
          <w:color w:val="auto"/>
        </w:rPr>
        <w:t>Our revenues, which consist of brokerage commission and handling charge income, interest income and other income, significantly increased by 258.2% from HK$87.0 million in 2016 to HK$311.7 million (US$39.9 million) in 2017. This increase was primarily due to the increases in our brokerage commission and handling charge income and interest income.</w:t>
      </w:r>
    </w:p>
    <w:p>
      <w:pPr>
        <w:spacing w:after="0" w:line="181" w:lineRule="exact"/>
        <w:rPr>
          <w:sz w:val="20"/>
          <w:szCs w:val="20"/>
          <w:color w:val="auto"/>
        </w:rPr>
      </w:pPr>
    </w:p>
    <w:p>
      <w:pPr>
        <w:ind w:left="240" w:right="1020" w:firstLine="438"/>
        <w:spacing w:after="0" w:line="289" w:lineRule="auto"/>
        <w:rPr>
          <w:sz w:val="20"/>
          <w:szCs w:val="20"/>
          <w:color w:val="auto"/>
        </w:rPr>
      </w:pPr>
      <w:r>
        <w:rPr>
          <w:rFonts w:ascii="Arial" w:cs="Arial" w:eastAsia="Arial" w:hAnsi="Arial"/>
          <w:sz w:val="16"/>
          <w:szCs w:val="16"/>
          <w:i w:val="1"/>
          <w:iCs w:val="1"/>
          <w:color w:val="auto"/>
        </w:rPr>
        <w:t xml:space="preserve">Brokerage commission and handling charge income. </w:t>
      </w:r>
      <w:r>
        <w:rPr>
          <w:rFonts w:ascii="Arial" w:cs="Arial" w:eastAsia="Arial" w:hAnsi="Arial"/>
          <w:sz w:val="16"/>
          <w:szCs w:val="16"/>
          <w:color w:val="auto"/>
        </w:rPr>
        <w:t>Brokerage commission and handling charge income increased by 148.2% from</w:t>
      </w:r>
      <w:r>
        <w:rPr>
          <w:rFonts w:ascii="Arial" w:cs="Arial" w:eastAsia="Arial" w:hAnsi="Arial"/>
          <w:sz w:val="16"/>
          <w:szCs w:val="16"/>
          <w:i w:val="1"/>
          <w:iCs w:val="1"/>
          <w:color w:val="auto"/>
        </w:rPr>
        <w:t xml:space="preserve"> </w:t>
      </w:r>
      <w:r>
        <w:rPr>
          <w:rFonts w:ascii="Arial" w:cs="Arial" w:eastAsia="Arial" w:hAnsi="Arial"/>
          <w:sz w:val="16"/>
          <w:szCs w:val="16"/>
          <w:color w:val="auto"/>
        </w:rPr>
        <w:t>HK$74.5 million in 2016 to HK$184.9 million (US$23.7 million) in 2017, primarily attributable to the increase in trading volume from</w:t>
      </w:r>
    </w:p>
    <w:p>
      <w:pPr>
        <w:spacing w:after="0" w:line="1" w:lineRule="exact"/>
        <w:rPr>
          <w:sz w:val="20"/>
          <w:szCs w:val="20"/>
          <w:color w:val="auto"/>
        </w:rPr>
      </w:pPr>
    </w:p>
    <w:p>
      <w:pPr>
        <w:ind w:left="240" w:right="160"/>
        <w:spacing w:after="0" w:line="275" w:lineRule="auto"/>
        <w:rPr>
          <w:sz w:val="20"/>
          <w:szCs w:val="20"/>
          <w:color w:val="auto"/>
        </w:rPr>
      </w:pPr>
      <w:r>
        <w:rPr>
          <w:rFonts w:ascii="Arial" w:cs="Arial" w:eastAsia="Arial" w:hAnsi="Arial"/>
          <w:sz w:val="17"/>
          <w:szCs w:val="17"/>
          <w:color w:val="auto"/>
        </w:rPr>
        <w:t>HK$195.9 billion in 2016 to HK$517.9 billion (US$66.3 million) in 2017. The increase in trading volume was primarily attributable to the increase in the number of paying clients from 35,456 in 2016 to 80,057 in 2017 and the increase in the average paying client asset balance from HK$437,626 in 2016 to HK$554,379 (US$70,957.8) in 2017. Our commission rate remained generally stable during 2016 and 2017.</w:t>
      </w:r>
    </w:p>
    <w:p>
      <w:pPr>
        <w:spacing w:after="0" w:line="173" w:lineRule="exact"/>
        <w:rPr>
          <w:sz w:val="20"/>
          <w:szCs w:val="20"/>
          <w:color w:val="auto"/>
        </w:rPr>
      </w:pPr>
    </w:p>
    <w:p>
      <w:pPr>
        <w:ind w:left="240" w:right="40" w:firstLine="438"/>
        <w:spacing w:after="0" w:line="25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significantly from HK$5.8 million in 2016 to HK$105.9 million (US$13.6 million) in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increase in the margin balance from HK$126.2 million in 2016 to HK$2,865.0 million (US$366.7 million) in 2017, as well as the increase in balance of client deposits and the improved return on such balance driven by (i) better capital management and (ii) an increase in benchmark interest rate in the U.S. and Hong Kong.</w:t>
      </w:r>
    </w:p>
    <w:p>
      <w:pPr>
        <w:spacing w:after="0" w:line="188" w:lineRule="exact"/>
        <w:rPr>
          <w:sz w:val="20"/>
          <w:szCs w:val="20"/>
          <w:color w:val="auto"/>
        </w:rPr>
      </w:pPr>
    </w:p>
    <w:p>
      <w:pPr>
        <w:ind w:left="240" w:right="120" w:firstLine="438"/>
        <w:spacing w:after="0" w:line="262"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increased significantly by 210.5% from HK$6.7 million in 2016 to HK$20.9 million (US$2.7 million)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the increase in IPO subscription service charge income, enterprise public relations service charge income and underwriting fee income as a result of the expansion in our corporate services.</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Costs</w:t>
      </w:r>
    </w:p>
    <w:p>
      <w:pPr>
        <w:spacing w:after="0" w:line="115"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color w:val="auto"/>
        </w:rPr>
        <w:t>Our costs, which consist of brokerage commission and handling charge expenses, interest expenses and processing and servicing costs, increased by 142.1% from HK$45.1 million in 2016 to HK$109.1 million (US$14.0 million) in 2017 as all components of costs increased due to our business growth.</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 xml:space="preserve">Brokerage commission and handling charge expenses. </w:t>
      </w:r>
      <w:r>
        <w:rPr>
          <w:rFonts w:ascii="Arial" w:cs="Arial" w:eastAsia="Arial" w:hAnsi="Arial"/>
          <w:sz w:val="17"/>
          <w:szCs w:val="17"/>
          <w:color w:val="auto"/>
        </w:rPr>
        <w:t>Brokerage commission and handling charge expenses increased by 96.4% from</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HK$18.7 million in 2016 to HK$36.8 million (US$4.7 million) in 2017, primarily attributable to the increase in trading volume on our platform. The</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brokerage commission and handling charge expenses did not increase in line with our brokerage commission income due to the tiered pricing policy</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adopted by clearing organizations and authorized financial institutions.</w:t>
      </w:r>
    </w:p>
    <w:p>
      <w:pPr>
        <w:spacing w:after="0" w:line="208"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i w:val="1"/>
          <w:iCs w:val="1"/>
          <w:color w:val="auto"/>
        </w:rPr>
        <w:t xml:space="preserve">Interest expenses. </w:t>
      </w:r>
      <w:r>
        <w:rPr>
          <w:rFonts w:ascii="Arial" w:cs="Arial" w:eastAsia="Arial" w:hAnsi="Arial"/>
          <w:sz w:val="18"/>
          <w:szCs w:val="18"/>
          <w:color w:val="auto"/>
        </w:rPr>
        <w:t>Interest expenses increased by 474.7% from HK$3.5 million in 2016 to HK$19.9 million (US$2.5 million) in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increase of our loan balance from HK$161.2 million in 2016 to HK$1.5 billion (US$197.4 million) in 2017, which was primarily attributable to the growing capital needs associated with the rapid growth of our margin financing business, and the increase in effective interest rate due to an increase in benchmark interest rates in the U.S. and Hong Kong.</w:t>
      </w:r>
    </w:p>
    <w:p>
      <w:pPr>
        <w:spacing w:after="0" w:line="188" w:lineRule="exact"/>
        <w:rPr>
          <w:sz w:val="20"/>
          <w:szCs w:val="20"/>
          <w:color w:val="auto"/>
        </w:rPr>
      </w:pPr>
    </w:p>
    <w:p>
      <w:pPr>
        <w:ind w:left="240" w:right="120" w:firstLine="438"/>
        <w:spacing w:after="0" w:line="262" w:lineRule="auto"/>
        <w:rPr>
          <w:sz w:val="20"/>
          <w:szCs w:val="20"/>
          <w:color w:val="auto"/>
        </w:rPr>
      </w:pPr>
      <w:r>
        <w:rPr>
          <w:rFonts w:ascii="Arial" w:cs="Arial" w:eastAsia="Arial" w:hAnsi="Arial"/>
          <w:sz w:val="18"/>
          <w:szCs w:val="18"/>
          <w:i w:val="1"/>
          <w:iCs w:val="1"/>
          <w:color w:val="auto"/>
        </w:rPr>
        <w:t xml:space="preserve">Processing and servicing costs. </w:t>
      </w:r>
      <w:r>
        <w:rPr>
          <w:rFonts w:ascii="Arial" w:cs="Arial" w:eastAsia="Arial" w:hAnsi="Arial"/>
          <w:sz w:val="18"/>
          <w:szCs w:val="18"/>
          <w:color w:val="auto"/>
        </w:rPr>
        <w:t>Processing and servicing costs increased by 129.2% from HK$22.9 million in 2016 to HK$52.4 million (US$6.7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2017, primarily attributable to the increase in the market information and data fees from HK$14.5 million in 2016 to HK$37.5 million (US$4.8 million) in 2017 to upgrade our market data service.</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Gross profit</w:t>
      </w:r>
    </w:p>
    <w:p>
      <w:pPr>
        <w:spacing w:after="0" w:line="115" w:lineRule="exact"/>
        <w:rPr>
          <w:sz w:val="20"/>
          <w:szCs w:val="20"/>
          <w:color w:val="auto"/>
        </w:rPr>
      </w:pPr>
    </w:p>
    <w:p>
      <w:pPr>
        <w:ind w:left="240" w:right="700" w:firstLine="438"/>
        <w:spacing w:after="0" w:line="275" w:lineRule="auto"/>
        <w:rPr>
          <w:sz w:val="20"/>
          <w:szCs w:val="20"/>
          <w:color w:val="auto"/>
        </w:rPr>
      </w:pPr>
      <w:r>
        <w:rPr>
          <w:rFonts w:ascii="Arial" w:cs="Arial" w:eastAsia="Arial" w:hAnsi="Arial"/>
          <w:sz w:val="18"/>
          <w:szCs w:val="18"/>
          <w:color w:val="auto"/>
        </w:rPr>
        <w:t>As a result of the foregoing, our total gross profit significantly increased by 382.9% from HK$41.9 million in 2016 to HK$202.6 million (US$25.9 million) in 2017. Our gross profit margin increased from 48.2% in 2016</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60"/>
          </w:cols>
          <w:pgMar w:left="240" w:top="457"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0"/>
        <w:spacing w:after="0" w:line="275" w:lineRule="auto"/>
        <w:rPr>
          <w:sz w:val="20"/>
          <w:szCs w:val="20"/>
          <w:color w:val="auto"/>
        </w:rPr>
      </w:pPr>
      <w:r>
        <w:rPr>
          <w:rFonts w:ascii="Arial" w:cs="Arial" w:eastAsia="Arial" w:hAnsi="Arial"/>
          <w:sz w:val="18"/>
          <w:szCs w:val="18"/>
          <w:color w:val="auto"/>
        </w:rPr>
        <w:t>to 65.0% in 2017, primarily attributable to the decrease in brokerage commission and handling charge expenses and processing and servicing costs as percentages of our total revenues.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Our total operating expenses increased by 27.3% from HK$152.6 million in 2016 to HK$194.3 million (US$24.9 million) in 2017 as research and development expenses and general and administrative expenses increased due to our business growth. The increase was partially offset by the decrease in selling and marketing expenses attributable to improvement in our marketing efficiency.</w:t>
      </w:r>
    </w:p>
    <w:p>
      <w:pPr>
        <w:spacing w:after="0" w:line="181"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Our research and development expenses increased from HK$61.6 million in 2016 to HK$95.5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(US$12.2 million) in 2017, primarily due to an increase in headcount for our research and development function to support our business growth and an increase in average compensation in line with the market trend.</w:t>
      </w:r>
    </w:p>
    <w:p>
      <w:pPr>
        <w:spacing w:after="0" w:line="181" w:lineRule="exact"/>
        <w:rPr>
          <w:sz w:val="20"/>
          <w:szCs w:val="20"/>
          <w:color w:val="auto"/>
        </w:rPr>
      </w:pPr>
    </w:p>
    <w:p>
      <w:pPr>
        <w:ind w:left="240" w:right="1100" w:firstLine="438"/>
        <w:spacing w:after="0" w:line="305" w:lineRule="auto"/>
        <w:rPr>
          <w:sz w:val="20"/>
          <w:szCs w:val="20"/>
          <w:color w:val="auto"/>
        </w:rPr>
      </w:pPr>
      <w:r>
        <w:rPr>
          <w:rFonts w:ascii="Arial" w:cs="Arial" w:eastAsia="Arial" w:hAnsi="Arial"/>
          <w:sz w:val="17"/>
          <w:szCs w:val="17"/>
          <w:i w:val="1"/>
          <w:iCs w:val="1"/>
          <w:color w:val="auto"/>
        </w:rPr>
        <w:t>Selling and marketing expenses</w:t>
      </w:r>
      <w:r>
        <w:rPr>
          <w:rFonts w:ascii="Arial" w:cs="Arial" w:eastAsia="Arial" w:hAnsi="Arial"/>
          <w:sz w:val="17"/>
          <w:szCs w:val="17"/>
          <w:color w:val="auto"/>
        </w:rPr>
        <w:t>. Our selling and marketing expenses decreased from HK$59.2 million in 2016 to HK$41.4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(US$5.3 million) in 2017, primarily attributable to the improvement of our marketing and user acquisition efficiency.</w:t>
      </w:r>
    </w:p>
    <w:p>
      <w:pPr>
        <w:spacing w:after="0" w:line="148" w:lineRule="exact"/>
        <w:rPr>
          <w:sz w:val="20"/>
          <w:szCs w:val="20"/>
          <w:color w:val="auto"/>
        </w:rPr>
      </w:pPr>
    </w:p>
    <w:p>
      <w:pPr>
        <w:jc w:val="both"/>
        <w:ind w:left="240" w:right="380" w:firstLine="438"/>
        <w:spacing w:after="0" w:line="262"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increased from HK$31.8 million in 2016 to HK$57.3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(US$7.3 million) in 2017. The increase was primarily attributable to an increase in headcount for our general and administrative personnel and an increase in average compensation in line with the market trend.</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Others, net</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Our others, net, which primarily consists of non-operating income and expenses and foreign currency gains and losses, increased from</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HK$1.1 million in 2016 to HK$4.9 million (US$0.6 million) in 2017. This increase was primarily due to the increase in non-operating cost incurred in</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relation to transaction terminations.</w:t>
      </w:r>
    </w:p>
    <w:p>
      <w:pPr>
        <w:spacing w:after="0" w:line="31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(Loss)/income before income tax</w:t>
      </w:r>
    </w:p>
    <w:p>
      <w:pPr>
        <w:spacing w:after="0" w:line="115" w:lineRule="exact"/>
        <w:rPr>
          <w:sz w:val="20"/>
          <w:szCs w:val="20"/>
          <w:color w:val="auto"/>
        </w:rPr>
      </w:pPr>
    </w:p>
    <w:p>
      <w:pPr>
        <w:ind w:left="240" w:right="120" w:firstLine="438"/>
        <w:spacing w:after="0" w:line="275" w:lineRule="auto"/>
        <w:rPr>
          <w:sz w:val="20"/>
          <w:szCs w:val="20"/>
          <w:color w:val="auto"/>
        </w:rPr>
      </w:pPr>
      <w:r>
        <w:rPr>
          <w:rFonts w:ascii="Arial" w:cs="Arial" w:eastAsia="Arial" w:hAnsi="Arial"/>
          <w:sz w:val="18"/>
          <w:szCs w:val="18"/>
          <w:color w:val="auto"/>
        </w:rPr>
        <w:t>As a result of the foregoing, we had income before income tax of HK$3.4 million (US$0.4 million) in 2017, compared to loss before income tax of HK$111.7 million in 2016.</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Income tax benefit/(expense)</w:t>
      </w:r>
    </w:p>
    <w:p>
      <w:pPr>
        <w:spacing w:after="0" w:line="115"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We had income tax expense of HK$11.5 million (US$1.5 million) in 2017, compared to income tax benefit of HK$13.3 million in 2016, primarily attributable to recognition of deferred tax assets based on the evaluation of our future taxable income.</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Net loss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As a result of the foregoing, we incurred net loss of HK$8.1 million (US$1.0 million) in 2017, compared to net loss of HK$98.5 million in 2016.</w:t>
      </w:r>
    </w:p>
    <w:p>
      <w:pPr>
        <w:spacing w:after="0" w:line="1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240" w:top="457"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a summary of our cash flows for the years presented:</w:t>
      </w:r>
    </w:p>
    <w:p>
      <w:pPr>
        <w:spacing w:after="0" w:line="241"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29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For the Year Ended December 31</w:t>
            </w:r>
          </w:p>
        </w:tc>
      </w:tr>
      <w:tr>
        <w:trPr>
          <w:trHeight w:val="141"/>
        </w:trPr>
        <w:tc>
          <w:tcPr>
            <w:tcW w:w="6240" w:type="dxa"/>
            <w:vAlign w:val="bottom"/>
          </w:tcPr>
          <w:p>
            <w:pPr>
              <w:spacing w:after="0"/>
              <w:rPr>
                <w:sz w:val="12"/>
                <w:szCs w:val="12"/>
                <w:color w:val="auto"/>
              </w:rPr>
            </w:pPr>
          </w:p>
        </w:tc>
        <w:tc>
          <w:tcPr>
            <w:tcW w:w="800" w:type="dxa"/>
            <w:vAlign w:val="bottom"/>
            <w:tcBorders>
              <w:top w:val="single" w:sz="8" w:color="auto"/>
            </w:tcBorders>
          </w:tcPr>
          <w:p>
            <w:pPr>
              <w:jc w:val="right"/>
              <w:ind w:right="176"/>
              <w:spacing w:after="0" w:line="14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60"/>
              <w:spacing w:after="0" w:line="141"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1"/>
        </w:trPr>
        <w:tc>
          <w:tcPr>
            <w:tcW w:w="6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1" w:lineRule="exact"/>
              <w:rPr>
                <w:sz w:val="20"/>
                <w:szCs w:val="20"/>
                <w:color w:val="auto"/>
              </w:rPr>
            </w:pPr>
            <w:r>
              <w:rPr>
                <w:rFonts w:ascii="Arial" w:cs="Arial" w:eastAsia="Arial" w:hAnsi="Arial"/>
                <w:sz w:val="14"/>
                <w:szCs w:val="14"/>
                <w:b w:val="1"/>
                <w:bCs w:val="1"/>
                <w:color w:val="auto"/>
              </w:rPr>
              <w:t>HK$</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540"/>
              <w:spacing w:after="0" w:line="141" w:lineRule="exact"/>
              <w:rPr>
                <w:sz w:val="20"/>
                <w:szCs w:val="20"/>
                <w:color w:val="auto"/>
              </w:rPr>
            </w:pPr>
            <w:r>
              <w:rPr>
                <w:rFonts w:ascii="Arial" w:cs="Arial" w:eastAsia="Arial" w:hAnsi="Arial"/>
                <w:sz w:val="14"/>
                <w:szCs w:val="14"/>
                <w:b w:val="1"/>
                <w:bCs w:val="1"/>
                <w:color w:val="auto"/>
              </w:rPr>
              <w:t>HK$</w:t>
            </w:r>
          </w:p>
        </w:tc>
        <w:tc>
          <w:tcPr>
            <w:tcW w:w="68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141"/>
        </w:trPr>
        <w:tc>
          <w:tcPr>
            <w:tcW w:w="6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300"/>
              <w:spacing w:after="0" w:line="141" w:lineRule="exact"/>
              <w:rPr>
                <w:sz w:val="20"/>
                <w:szCs w:val="20"/>
                <w:color w:val="auto"/>
              </w:rPr>
            </w:pPr>
            <w:r>
              <w:rPr>
                <w:rFonts w:ascii="Arial" w:cs="Arial" w:eastAsia="Arial" w:hAnsi="Arial"/>
                <w:sz w:val="14"/>
                <w:szCs w:val="14"/>
                <w:b w:val="1"/>
                <w:bCs w:val="1"/>
                <w:color w:val="auto"/>
                <w:w w:val="95"/>
              </w:rPr>
              <w:t>(in 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5"/>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Cash Flow Data:</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Net cash generated from operating activities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1,397,692</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1,855,328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237,475</w:t>
            </w:r>
          </w:p>
        </w:tc>
        <w:tc>
          <w:tcPr>
            <w:tcW w:w="120" w:type="dxa"/>
            <w:vAlign w:val="bottom"/>
          </w:tcPr>
          <w:p>
            <w:pPr>
              <w:spacing w:after="0"/>
              <w:rPr>
                <w:sz w:val="18"/>
                <w:szCs w:val="18"/>
                <w:color w:val="auto"/>
              </w:rPr>
            </w:pPr>
          </w:p>
        </w:tc>
      </w:tr>
      <w:tr>
        <w:trPr>
          <w:trHeight w:val="215"/>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(5,145)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w:t>
            </w:r>
          </w:p>
        </w:tc>
      </w:tr>
      <w:tr>
        <w:trPr>
          <w:trHeight w:val="215"/>
        </w:trPr>
        <w:tc>
          <w:tcPr>
            <w:tcW w:w="6240" w:type="dxa"/>
            <w:vAlign w:val="bottom"/>
          </w:tcPr>
          <w:p>
            <w:pPr>
              <w:spacing w:after="0"/>
              <w:rPr>
                <w:sz w:val="20"/>
                <w:szCs w:val="20"/>
                <w:color w:val="auto"/>
              </w:rPr>
            </w:pPr>
            <w:r>
              <w:rPr>
                <w:rFonts w:ascii="Arial" w:cs="Arial" w:eastAsia="Arial" w:hAnsi="Arial"/>
                <w:sz w:val="18"/>
                <w:szCs w:val="18"/>
                <w:color w:val="auto"/>
              </w:rPr>
              <w:t>Net cash generated from financing activities</w:t>
            </w:r>
          </w:p>
        </w:tc>
        <w:tc>
          <w:tcPr>
            <w:tcW w:w="800" w:type="dxa"/>
            <w:vAlign w:val="bottom"/>
          </w:tcPr>
          <w:p>
            <w:pPr>
              <w:jc w:val="right"/>
              <w:spacing w:after="0"/>
              <w:rPr>
                <w:sz w:val="20"/>
                <w:szCs w:val="20"/>
                <w:color w:val="auto"/>
              </w:rPr>
            </w:pPr>
            <w:r>
              <w:rPr>
                <w:rFonts w:ascii="Arial" w:cs="Arial" w:eastAsia="Arial" w:hAnsi="Arial"/>
                <w:sz w:val="18"/>
                <w:szCs w:val="18"/>
                <w:color w:val="auto"/>
              </w:rPr>
              <w:t>147,594</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2,155,846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275,936</w:t>
            </w:r>
          </w:p>
        </w:tc>
        <w:tc>
          <w:tcPr>
            <w:tcW w:w="120" w:type="dxa"/>
            <w:vAlign w:val="bottom"/>
          </w:tcPr>
          <w:p>
            <w:pPr>
              <w:spacing w:after="0"/>
              <w:rPr>
                <w:sz w:val="18"/>
                <w:szCs w:val="18"/>
                <w:color w:val="auto"/>
              </w:rPr>
            </w:pPr>
          </w:p>
        </w:tc>
      </w:tr>
      <w:tr>
        <w:trPr>
          <w:trHeight w:val="215"/>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9"/>
              </w:rPr>
              <w:t>Effect of exchange rate changes on cash, cash equivalents and restricted cash</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2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1,539,133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4,027,654</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515,521</w:t>
            </w:r>
          </w:p>
        </w:tc>
        <w:tc>
          <w:tcPr>
            <w:tcW w:w="120" w:type="dxa"/>
            <w:vAlign w:val="bottom"/>
          </w:tcPr>
          <w:p>
            <w:pPr>
              <w:spacing w:after="0"/>
              <w:rPr>
                <w:sz w:val="19"/>
                <w:szCs w:val="19"/>
                <w:color w:val="auto"/>
              </w:rPr>
            </w:pPr>
          </w:p>
        </w:tc>
      </w:tr>
      <w:tr>
        <w:trPr>
          <w:trHeight w:val="215"/>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1,985,055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3,524,188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451,078</w:t>
            </w:r>
          </w:p>
        </w:tc>
        <w:tc>
          <w:tcPr>
            <w:tcW w:w="12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the year</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3,524,188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7,551,842</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966,599</w:t>
            </w:r>
          </w:p>
        </w:tc>
        <w:tc>
          <w:tcPr>
            <w:tcW w:w="12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right="20" w:firstLine="438"/>
        <w:spacing w:after="0" w:line="255" w:lineRule="auto"/>
        <w:rPr>
          <w:sz w:val="20"/>
          <w:szCs w:val="20"/>
          <w:color w:val="auto"/>
        </w:rPr>
      </w:pPr>
      <w:r>
        <w:rPr>
          <w:rFonts w:ascii="Arial" w:cs="Arial" w:eastAsia="Arial" w:hAnsi="Arial"/>
          <w:sz w:val="18"/>
          <w:szCs w:val="18"/>
          <w:color w:val="auto"/>
        </w:rPr>
        <w:t>To date, we have financed our operating and investing activities through cash generated by historical equity financing activities and credit facilities provided by commercial banks, other licensed financial institutions and other parties. As of December 31, 2016 and 2017, respectively, our cash and cash equivalents were HK$179.0 million and HK$375.3 million (US$48.0 million). Our cash and cash equivalents primarily consist of cash on hand, demand deposits, time deposits and highly liquid investments placed with banks or other financial institutions, which are unrestricted for withdrawal or use, and which have original maturities of three months or less.</w:t>
      </w:r>
    </w:p>
    <w:p>
      <w:pPr>
        <w:spacing w:after="0" w:line="189" w:lineRule="exact"/>
        <w:rPr>
          <w:sz w:val="20"/>
          <w:szCs w:val="20"/>
          <w:color w:val="auto"/>
        </w:rPr>
      </w:pPr>
    </w:p>
    <w:p>
      <w:pPr>
        <w:ind w:left="240" w:right="80" w:firstLine="438"/>
        <w:spacing w:after="0" w:line="254" w:lineRule="auto"/>
        <w:rPr>
          <w:sz w:val="20"/>
          <w:szCs w:val="20"/>
          <w:color w:val="auto"/>
        </w:rPr>
      </w:pPr>
      <w:r>
        <w:rPr>
          <w:rFonts w:ascii="Arial" w:cs="Arial" w:eastAsia="Arial" w:hAnsi="Arial"/>
          <w:sz w:val="18"/>
          <w:szCs w:val="18"/>
          <w:color w:val="auto"/>
        </w:rPr>
        <w:t>We believe that our current cash and cash equivalents and our anticipated cash flows from operations will be sufficient to meet our anticipated working capital requirements and capital expenditures for at least the next 12 months. After this offering, we may decide to enhance our liquidity position or increase our cash reserve for future investments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90" w:lineRule="exact"/>
        <w:rPr>
          <w:sz w:val="20"/>
          <w:szCs w:val="20"/>
          <w:color w:val="auto"/>
        </w:rPr>
      </w:pPr>
    </w:p>
    <w:p>
      <w:pPr>
        <w:ind w:left="240" w:firstLine="438"/>
        <w:spacing w:after="0" w:line="253" w:lineRule="auto"/>
        <w:rPr>
          <w:sz w:val="20"/>
          <w:szCs w:val="20"/>
          <w:color w:val="auto"/>
        </w:rPr>
      </w:pPr>
      <w:r>
        <w:rPr>
          <w:rFonts w:ascii="Arial" w:cs="Arial" w:eastAsia="Arial" w:hAnsi="Arial"/>
          <w:sz w:val="18"/>
          <w:szCs w:val="18"/>
          <w:color w:val="auto"/>
        </w:rPr>
        <w:t>As of December 31, 2017, our cash and cash equivalents were HK$375.3 million (US$48.0 million), out of which HK$119.6 million (US$15.3 million) was held in U.S. dollars, HK$232.7 million (US$29.8 million) was held in Hong Kong dollars, and HK$23.0 million (US$2.9 million) was held in Renminbi. As of December 31, 2017, 6.1% of our cash and cash equivalents were held in China, and 0.02% were held by our VIE. Although we consolidate the results of our VIE and its subsidiary, we only have access to the assets or earnings of our VIE and their subsidiary through our contractual arrangements with our VIE and their shareholders. See “Corporate History and Structure—Contractual Arrangements with Our VIE and Its Shareholders.” For restrictions and limitations on liquidity and capital resources as a result of our corporate structure, see “—Holding Company Structure.”</w:t>
      </w:r>
    </w:p>
    <w:p>
      <w:pPr>
        <w:spacing w:after="0" w:line="191" w:lineRule="exact"/>
        <w:rPr>
          <w:sz w:val="20"/>
          <w:szCs w:val="20"/>
          <w:color w:val="auto"/>
        </w:rPr>
      </w:pPr>
    </w:p>
    <w:p>
      <w:pPr>
        <w:ind w:left="240" w:right="120" w:firstLine="438"/>
        <w:spacing w:after="0" w:line="277" w:lineRule="auto"/>
        <w:rPr>
          <w:sz w:val="20"/>
          <w:szCs w:val="20"/>
          <w:color w:val="auto"/>
        </w:rPr>
      </w:pPr>
      <w:r>
        <w:rPr>
          <w:rFonts w:ascii="Arial" w:cs="Arial" w:eastAsia="Arial" w:hAnsi="Arial"/>
          <w:sz w:val="17"/>
          <w:szCs w:val="17"/>
          <w:color w:val="auto"/>
        </w:rPr>
        <w:t>In utilizing the proceeds we expect to receive from this offering, we may make additional capital contributions to our PRC subsidiaries, establish new PRC subsidiaries and make capital contributions to these new PRC subsidiaries, make loans to our PRC subsidiaries, or acquire offshore entities with operations in China in offshore transactions. However, most of these uses are subject to PRC regulations. See “Risk Factors—Risks Related to Doing Business in China—PRC regulation of loans to and direct investment in PRC entities by</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60"/>
          </w:cols>
          <w:pgMar w:left="240" w:top="457"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00"/>
        <w:spacing w:after="0" w:line="305" w:lineRule="auto"/>
        <w:rPr>
          <w:sz w:val="20"/>
          <w:szCs w:val="20"/>
          <w:color w:val="auto"/>
        </w:rPr>
      </w:pPr>
      <w:r>
        <w:rPr>
          <w:rFonts w:ascii="Arial" w:cs="Arial" w:eastAsia="Arial" w:hAnsi="Arial"/>
          <w:sz w:val="17"/>
          <w:szCs w:val="17"/>
          <w:color w:val="auto"/>
        </w:rPr>
        <w:t>offshore holding companies and governmental control of currency conversion may delay or prevent us from using the proceeds of this offering to make loans or additional capital contributions to our PRC subsidiaries and our VIE and its subsidiaries” and “Use of Proceeds.”</w:t>
      </w:r>
    </w:p>
    <w:p>
      <w:pPr>
        <w:spacing w:after="0" w:line="148"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We expect that a limited portion of our future revenues will be denominated in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Regulatory capital requirements</w:t>
      </w:r>
    </w:p>
    <w:p>
      <w:pPr>
        <w:spacing w:after="0" w:line="115" w:lineRule="exact"/>
        <w:rPr>
          <w:sz w:val="20"/>
          <w:szCs w:val="20"/>
          <w:color w:val="auto"/>
        </w:rPr>
      </w:pPr>
    </w:p>
    <w:p>
      <w:pPr>
        <w:jc w:val="both"/>
        <w:ind w:left="240" w:right="80" w:firstLine="438"/>
        <w:spacing w:after="0" w:line="277" w:lineRule="auto"/>
        <w:rPr>
          <w:sz w:val="20"/>
          <w:szCs w:val="20"/>
          <w:color w:val="auto"/>
        </w:rPr>
      </w:pPr>
      <w:r>
        <w:rPr>
          <w:rFonts w:ascii="Arial" w:cs="Arial" w:eastAsia="Arial" w:hAnsi="Arial"/>
          <w:sz w:val="17"/>
          <w:szCs w:val="17"/>
          <w:color w:val="auto"/>
        </w:rPr>
        <w:t>Subject to certain exemptions specified under the Securities and Futures (Financial Resources) Rules of Hong Kong (the “FRR”), Futu Securities International (Hong Kong) Limited, or Futu International Hong Kong, our Hong Kong subsidiary that is a securities dealer registered with the HK SFC, is required to maintain minimum paid-up share capital in accordance with the FRR. The following table sets out a summary of the key requirements on minimum paid-up share capital under the FRR which are applicable to Futu International Hong Kong:</w:t>
      </w:r>
    </w:p>
    <w:p>
      <w:pPr>
        <w:spacing w:after="0" w:line="17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Regulated Activities</w:t>
            </w:r>
          </w:p>
        </w:tc>
        <w:tc>
          <w:tcPr>
            <w:tcW w:w="210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w w:val="96"/>
              </w:rPr>
              <w:t>Minimum Amount of</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Paid-up Share</w:t>
            </w:r>
          </w:p>
        </w:tc>
        <w:tc>
          <w:tcPr>
            <w:tcW w:w="0" w:type="dxa"/>
            <w:vAlign w:val="bottom"/>
          </w:tcPr>
          <w:p>
            <w:pPr>
              <w:spacing w:after="0"/>
              <w:rPr>
                <w:sz w:val="1"/>
                <w:szCs w:val="1"/>
                <w:color w:val="auto"/>
              </w:rPr>
            </w:pPr>
          </w:p>
        </w:tc>
      </w:tr>
      <w:tr>
        <w:trPr>
          <w:trHeight w:val="194"/>
        </w:trPr>
        <w:tc>
          <w:tcPr>
            <w:tcW w:w="46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Futu International Hong Kong</w:t>
            </w:r>
          </w:p>
        </w:tc>
        <w:tc>
          <w:tcPr>
            <w:tcW w:w="24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1"/>
              </w:rPr>
              <w:t>A corporation licensed for Type 1,</w:t>
            </w:r>
          </w:p>
        </w:tc>
        <w:tc>
          <w:tcPr>
            <w:tcW w:w="7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6"/>
              </w:rPr>
              <w:t>HK$  10,000,000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Type 2, Type 4, Type 5 and</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Type 9 regulated activities</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 addition, the FRR also requires a licensed corporation to maintain minimum liquid capital. The minimum liquid capital requirements under the</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FRR that are applicable Futu International Hong Kong are the higher of the amount of (a) and (b) below:</w:t>
      </w:r>
    </w:p>
    <w:p>
      <w:pPr>
        <w:spacing w:after="0" w:line="235"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18"/>
          <w:szCs w:val="18"/>
          <w:color w:val="auto"/>
        </w:rPr>
        <w:t>(a)</w:t>
        <w:tab/>
        <w:t>the amount of:</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8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96"/>
              </w:rPr>
              <w:t>Minimum Amount of</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Regulated Activities</w:t>
            </w:r>
          </w:p>
        </w:tc>
        <w:tc>
          <w:tcPr>
            <w:tcW w:w="820" w:type="dxa"/>
            <w:vAlign w:val="bottom"/>
          </w:tcPr>
          <w:p>
            <w:pPr>
              <w:spacing w:after="0"/>
              <w:rPr>
                <w:sz w:val="12"/>
                <w:szCs w:val="12"/>
                <w:color w:val="auto"/>
              </w:rPr>
            </w:pPr>
          </w:p>
        </w:tc>
        <w:tc>
          <w:tcPr>
            <w:tcW w:w="136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5"/>
              </w:rPr>
              <w:t>Required Liquid</w:t>
            </w: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24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4"/>
        </w:trPr>
        <w:tc>
          <w:tcPr>
            <w:tcW w:w="45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Futu International Hong Kong</w:t>
            </w:r>
          </w:p>
        </w:tc>
        <w:tc>
          <w:tcPr>
            <w:tcW w:w="244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1"/>
              </w:rPr>
              <w:t>A corporation licensed for Type</w:t>
            </w:r>
          </w:p>
        </w:tc>
        <w:tc>
          <w:tcPr>
            <w:tcW w:w="8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9"/>
              </w:rPr>
              <w:t>HK$   3,000,000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Type 2, Type 4, Type 5 and</w:t>
            </w: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Type 9 regulated activities</w:t>
            </w: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60" w:right="300" w:hanging="424"/>
        <w:spacing w:after="0" w:line="274"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case of a corporation licensed for any regulated activities other than Type 3 regulated activities, its variable required liquid capital which means 5% of the aggregate of (i) its adjusted liabilities, (ii) the aggregate of the initial margin requirements in respect of outstanding futures contracts and outstanding options contracts held by it on behalf of its clients, and (iii) the aggregate of the amounts of margin required to be deposited in respect of outstanding futures contracts and outstanding options contracts held by it on behalf of its clients, to the extent that such contracts are not subject to the requirement of payment of initial margin requirements.</w:t>
      </w:r>
    </w:p>
    <w:p>
      <w:pPr>
        <w:spacing w:after="0" w:line="173" w:lineRule="exact"/>
        <w:rPr>
          <w:sz w:val="20"/>
          <w:szCs w:val="20"/>
          <w:color w:val="auto"/>
        </w:rPr>
      </w:pPr>
    </w:p>
    <w:p>
      <w:pPr>
        <w:ind w:left="240" w:right="260" w:firstLine="438"/>
        <w:spacing w:after="0" w:line="275" w:lineRule="auto"/>
        <w:rPr>
          <w:sz w:val="20"/>
          <w:szCs w:val="20"/>
          <w:color w:val="auto"/>
        </w:rPr>
      </w:pPr>
      <w:r>
        <w:rPr>
          <w:rFonts w:ascii="Arial" w:cs="Arial" w:eastAsia="Arial" w:hAnsi="Arial"/>
          <w:sz w:val="18"/>
          <w:szCs w:val="18"/>
          <w:color w:val="auto"/>
        </w:rPr>
        <w:t>Regulatory capital requirements could restrict Futu International Hong Kong from expanding their business and declaring dividends if their net capital does not meet regulatory requirements. As of December 31, 2016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7"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820"/>
        <w:spacing w:after="0" w:line="339" w:lineRule="auto"/>
        <w:rPr>
          <w:sz w:val="20"/>
          <w:szCs w:val="20"/>
          <w:color w:val="auto"/>
        </w:rPr>
      </w:pPr>
      <w:r>
        <w:rPr>
          <w:rFonts w:ascii="Arial" w:cs="Arial" w:eastAsia="Arial" w:hAnsi="Arial"/>
          <w:sz w:val="16"/>
          <w:szCs w:val="16"/>
          <w:color w:val="auto"/>
        </w:rPr>
        <w:t>2017, aggregate excess regulatory capital for Futu International Hong Kong was HK$204.9 million and HK$588.7 million (US$75.4 million) respectively. As of December 31, 2017, Futu International Hong Kong was in compliance with its regulatory capital requirements.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left="240" w:right="80" w:firstLine="438"/>
        <w:spacing w:after="0" w:line="290" w:lineRule="auto"/>
        <w:rPr>
          <w:sz w:val="20"/>
          <w:szCs w:val="20"/>
          <w:color w:val="auto"/>
        </w:rPr>
      </w:pPr>
      <w:r>
        <w:rPr>
          <w:rFonts w:ascii="Arial" w:cs="Arial" w:eastAsia="Arial" w:hAnsi="Arial"/>
          <w:sz w:val="16"/>
          <w:szCs w:val="16"/>
          <w:color w:val="auto"/>
        </w:rPr>
        <w:t>Net cash generated from operating activities in 2017 was HK$1.9 billion (US$237.5 million), as compared to net loss of HK$8.1 million (US$1.0 million) in the same year. The difference was primarily due to net increase of HK$4.1 billion (US$528.8 million) in accounts payable to clients and brokers and net decrease of HK$477.4 million (US$61.1 million) in accounts receivable from clients and brokers, partially offset by net increase of HK$2.8 billion (US$356.1 million) in loans and advances. The increase in accounts payable to clients and brokers was due to the increase of cash deposits as a result of the expansion of our brokerage business. The increase of loans and advances was due to the expansion of our margin financing business. The principal non-cash items affecting the difference between our net loss and our net cash generated from operating activities in 2017 were HK$9.8 million (US$1.3 million) in share-based compensation expenses and HK$4.3 million (US$0.6 million) in depreciation and amortization.</w:t>
      </w:r>
    </w:p>
    <w:p>
      <w:pPr>
        <w:spacing w:after="0" w:line="162"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Net cash generated from operating activities in 2016 was HK$1.4 billion, as compared to net loss of HK$98.5 million in the same year. The difference was primarily due to net increase of HK$2.2 billion in accounts payable to clients and brokers, partially offset by net increase of HK$566.7 million in accounts receivable from clients and brokers and net increase of HK$126.2 million in loans and advances. The increase in accounts payable to clients and brokers was due to the increase of cash deposits as a result of the expansion of our brokerage business. The increase of accounts receivable from clients and brokers was attributable to the introduction and expansion of our margin financing business. The principal non-cash items affecting the difference between our net loss and our net cash generated from operating activities in 2016 were HK$9.2 million in share-based compensation expenses and HK$3.6 million in depreciation and amortization.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left="240" w:right="420" w:firstLine="438"/>
        <w:spacing w:after="0" w:line="262" w:lineRule="auto"/>
        <w:rPr>
          <w:sz w:val="20"/>
          <w:szCs w:val="20"/>
          <w:color w:val="auto"/>
        </w:rPr>
      </w:pPr>
      <w:r>
        <w:rPr>
          <w:rFonts w:ascii="Arial" w:cs="Arial" w:eastAsia="Arial" w:hAnsi="Arial"/>
          <w:sz w:val="18"/>
          <w:szCs w:val="18"/>
          <w:color w:val="auto"/>
        </w:rPr>
        <w:t>Net cash used in investing activities in 2017 was HK$5.1 million (US$0.7 million), primarily due to the purchase of property, equipment and intangible assets of HK$7.4 million (US$0.9 million), partially offset by net proceeds from disposal of available-for-sale financial securities of HK$2.2 million (US$0.3 million).</w:t>
      </w:r>
    </w:p>
    <w:p>
      <w:pPr>
        <w:spacing w:after="0" w:line="181" w:lineRule="exact"/>
        <w:rPr>
          <w:sz w:val="20"/>
          <w:szCs w:val="20"/>
          <w:color w:val="auto"/>
        </w:rPr>
      </w:pPr>
    </w:p>
    <w:p>
      <w:pPr>
        <w:ind w:left="240" w:right="520" w:firstLine="438"/>
        <w:spacing w:after="0" w:line="275" w:lineRule="auto"/>
        <w:rPr>
          <w:sz w:val="20"/>
          <w:szCs w:val="20"/>
          <w:color w:val="auto"/>
        </w:rPr>
      </w:pPr>
      <w:r>
        <w:rPr>
          <w:rFonts w:ascii="Arial" w:cs="Arial" w:eastAsia="Arial" w:hAnsi="Arial"/>
          <w:sz w:val="18"/>
          <w:szCs w:val="18"/>
          <w:color w:val="auto"/>
        </w:rPr>
        <w:t>Net cash used in investing activities in 2016 was HK$6.2 million, primarily due to purchase of property, equipment and intangible assets of HK$4.0 million and net purchase from disposal of available-for-sale financial securities of HK$2.2 million.</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left="240" w:right="60" w:firstLine="438"/>
        <w:spacing w:after="0" w:line="284" w:lineRule="auto"/>
        <w:rPr>
          <w:sz w:val="20"/>
          <w:szCs w:val="20"/>
          <w:color w:val="auto"/>
        </w:rPr>
      </w:pPr>
      <w:r>
        <w:rPr>
          <w:rFonts w:ascii="Arial" w:cs="Arial" w:eastAsia="Arial" w:hAnsi="Arial"/>
          <w:sz w:val="17"/>
          <w:szCs w:val="17"/>
          <w:color w:val="auto"/>
        </w:rPr>
        <w:t>Net cash generated from financing activities in 2017 was HK$2.2 billion (US$275.9 million), primarily attributable to proceeds of HK$2.5 billion (US$322.3 million) from short-term borrowings and proceeds of HK$620.6 million (US$79.4 million) from issuance of Series C preferred shares and Series C-1 preferred shares, partially offset by repayment of short-term borrowings of HK$983.0 million (US$125.8 million).</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cash generated from financing activities in 2016 was HK$147.6 million, attributable to proceeds from short-term borrowings.</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expenditures</w:t>
      </w:r>
    </w:p>
    <w:p>
      <w:pPr>
        <w:spacing w:after="0" w:line="115" w:lineRule="exact"/>
        <w:rPr>
          <w:sz w:val="20"/>
          <w:szCs w:val="20"/>
          <w:color w:val="auto"/>
        </w:rPr>
      </w:pPr>
    </w:p>
    <w:p>
      <w:pPr>
        <w:ind w:left="240" w:right="760" w:firstLine="438"/>
        <w:spacing w:after="0" w:line="275" w:lineRule="auto"/>
        <w:rPr>
          <w:sz w:val="20"/>
          <w:szCs w:val="20"/>
          <w:color w:val="auto"/>
        </w:rPr>
      </w:pPr>
      <w:r>
        <w:rPr>
          <w:rFonts w:ascii="Arial" w:cs="Arial" w:eastAsia="Arial" w:hAnsi="Arial"/>
          <w:sz w:val="18"/>
          <w:szCs w:val="18"/>
          <w:color w:val="auto"/>
        </w:rPr>
        <w:t>Our capital expenditures are primarily incurred for purchase of property, equipment and intangible assets. Our capital expenditures were HK$4.0 million in 2016 and HK$7.4 million (US$0.9 million) in 2017. We intend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240" w:top="457"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00"/>
        <w:spacing w:after="0" w:line="275" w:lineRule="auto"/>
        <w:rPr>
          <w:sz w:val="20"/>
          <w:szCs w:val="20"/>
          <w:color w:val="auto"/>
        </w:rPr>
      </w:pPr>
      <w:r>
        <w:rPr>
          <w:rFonts w:ascii="Arial" w:cs="Arial" w:eastAsia="Arial" w:hAnsi="Arial"/>
          <w:sz w:val="18"/>
          <w:szCs w:val="18"/>
          <w:color w:val="auto"/>
        </w:rPr>
        <w:t>to fund our future capital expenditures with our existing cash balance and proceeds from this offering. We will continue to make capital expenditures to meet the expected growth of our business.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Principal Indebtedness</w:t>
      </w:r>
    </w:p>
    <w:p>
      <w:pPr>
        <w:spacing w:after="0" w:line="119" w:lineRule="exact"/>
        <w:rPr>
          <w:sz w:val="20"/>
          <w:szCs w:val="20"/>
          <w:color w:val="auto"/>
        </w:rPr>
      </w:pPr>
    </w:p>
    <w:p>
      <w:pPr>
        <w:ind w:left="240" w:right="380" w:firstLine="438"/>
        <w:spacing w:after="0" w:line="275" w:lineRule="auto"/>
        <w:rPr>
          <w:sz w:val="20"/>
          <w:szCs w:val="20"/>
          <w:color w:val="auto"/>
        </w:rPr>
      </w:pPr>
      <w:r>
        <w:rPr>
          <w:rFonts w:ascii="Arial" w:cs="Arial" w:eastAsia="Arial" w:hAnsi="Arial"/>
          <w:sz w:val="18"/>
          <w:szCs w:val="18"/>
          <w:color w:val="auto"/>
        </w:rPr>
        <w:t>Our principal indebtedness includes short-term borrowing from banks and other parties, as well as convertible notes issued to Qiantang River Investment Limited.</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41"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202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141"/>
        </w:trPr>
        <w:tc>
          <w:tcPr>
            <w:tcW w:w="63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280"/>
              <w:spacing w:after="0" w:line="141"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41"/>
        </w:trPr>
        <w:tc>
          <w:tcPr>
            <w:tcW w:w="6300" w:type="dxa"/>
            <w:vAlign w:val="bottom"/>
          </w:tcPr>
          <w:p>
            <w:pPr>
              <w:spacing w:after="0"/>
              <w:rPr>
                <w:sz w:val="12"/>
                <w:szCs w:val="12"/>
                <w:color w:val="auto"/>
              </w:rPr>
            </w:pPr>
          </w:p>
        </w:tc>
        <w:tc>
          <w:tcPr>
            <w:tcW w:w="1940" w:type="dxa"/>
            <w:vAlign w:val="bottom"/>
            <w:gridSpan w:val="4"/>
          </w:tcPr>
          <w:p>
            <w:pPr>
              <w:ind w:left="380"/>
              <w:spacing w:after="0" w:line="141" w:lineRule="exact"/>
              <w:rPr>
                <w:sz w:val="20"/>
                <w:szCs w:val="20"/>
                <w:color w:val="auto"/>
              </w:rPr>
            </w:pPr>
            <w:r>
              <w:rPr>
                <w:rFonts w:ascii="Arial" w:cs="Arial" w:eastAsia="Arial" w:hAnsi="Arial"/>
                <w:sz w:val="14"/>
                <w:szCs w:val="14"/>
                <w:b w:val="1"/>
                <w:bCs w:val="1"/>
                <w:color w:val="auto"/>
              </w:rPr>
              <w:t>(HK$ in thousands)</w:t>
            </w:r>
          </w:p>
        </w:tc>
        <w:tc>
          <w:tcPr>
            <w:tcW w:w="80" w:type="dxa"/>
            <w:vAlign w:val="bottom"/>
          </w:tcPr>
          <w:p>
            <w:pPr>
              <w:spacing w:after="0"/>
              <w:rPr>
                <w:sz w:val="12"/>
                <w:szCs w:val="12"/>
                <w:color w:val="auto"/>
              </w:rPr>
            </w:pPr>
          </w:p>
        </w:tc>
      </w:tr>
      <w:tr>
        <w:trPr>
          <w:trHeight w:val="215"/>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6300" w:type="dxa"/>
            <w:vAlign w:val="bottom"/>
          </w:tcPr>
          <w:p>
            <w:pPr>
              <w:ind w:left="340"/>
              <w:spacing w:after="0"/>
              <w:rPr>
                <w:sz w:val="20"/>
                <w:szCs w:val="20"/>
                <w:color w:val="auto"/>
              </w:rPr>
            </w:pPr>
            <w:r>
              <w:rPr>
                <w:rFonts w:ascii="Arial" w:cs="Arial" w:eastAsia="Arial" w:hAnsi="Arial"/>
                <w:sz w:val="18"/>
                <w:szCs w:val="18"/>
                <w:color w:val="auto"/>
              </w:rPr>
              <w:t>Banks</w:t>
            </w:r>
          </w:p>
        </w:tc>
        <w:tc>
          <w:tcPr>
            <w:tcW w:w="10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4"/>
              </w:rPr>
              <w:t>1,142,448</w:t>
            </w:r>
          </w:p>
        </w:tc>
      </w:tr>
      <w:tr>
        <w:trPr>
          <w:trHeight w:val="215"/>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161,179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8"/>
              </w:rPr>
              <w:t>400,000</w:t>
            </w: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161,179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4"/>
              </w:rPr>
              <w:t>1,542,448</w:t>
            </w: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right="220" w:firstLine="438"/>
        <w:spacing w:after="0" w:line="275" w:lineRule="auto"/>
        <w:rPr>
          <w:sz w:val="20"/>
          <w:szCs w:val="20"/>
          <w:color w:val="auto"/>
        </w:rPr>
      </w:pPr>
      <w:r>
        <w:rPr>
          <w:rFonts w:ascii="Arial" w:cs="Arial" w:eastAsia="Arial" w:hAnsi="Arial"/>
          <w:sz w:val="18"/>
          <w:szCs w:val="18"/>
          <w:color w:val="auto"/>
        </w:rPr>
        <w:t>We have entered into short-term borrowings primarily to support our margin financing business in Hong Kong. Our short-term borrowings bear weighted average interest rates of 4.09% and 3.18% as of December 31, 2016 and 2017, respectively.</w:t>
      </w:r>
    </w:p>
    <w:p>
      <w:pPr>
        <w:spacing w:after="0" w:line="170" w:lineRule="exact"/>
        <w:rPr>
          <w:sz w:val="20"/>
          <w:szCs w:val="20"/>
          <w:color w:val="auto"/>
        </w:rPr>
      </w:pPr>
    </w:p>
    <w:p>
      <w:pPr>
        <w:ind w:left="240" w:right="20" w:firstLine="438"/>
        <w:spacing w:after="0" w:line="262" w:lineRule="auto"/>
        <w:rPr>
          <w:sz w:val="20"/>
          <w:szCs w:val="20"/>
          <w:color w:val="auto"/>
        </w:rPr>
      </w:pPr>
      <w:r>
        <w:rPr>
          <w:rFonts w:ascii="Arial" w:cs="Arial" w:eastAsia="Arial" w:hAnsi="Arial"/>
          <w:sz w:val="18"/>
          <w:szCs w:val="18"/>
          <w:color w:val="auto"/>
        </w:rPr>
        <w:t>As of December 31, 2016, we had a credit facility with a related party, of which principal amounted to RMB10.0 million (US$1.5 million) with an interest rate of 5.35% per annum, guaranteed by Mr. Leaf Hua Li, our founder, chairman and chief executive officer. The loan was paid in full in June 2017.</w:t>
      </w:r>
    </w:p>
    <w:p>
      <w:pPr>
        <w:spacing w:after="0" w:line="181" w:lineRule="exact"/>
        <w:rPr>
          <w:sz w:val="20"/>
          <w:szCs w:val="20"/>
          <w:color w:val="auto"/>
        </w:rPr>
      </w:pPr>
    </w:p>
    <w:p>
      <w:pPr>
        <w:ind w:left="240" w:right="180" w:firstLine="438"/>
        <w:spacing w:after="0" w:line="275" w:lineRule="auto"/>
        <w:rPr>
          <w:sz w:val="20"/>
          <w:szCs w:val="20"/>
          <w:color w:val="auto"/>
        </w:rPr>
      </w:pPr>
      <w:r>
        <w:rPr>
          <w:rFonts w:ascii="Arial" w:cs="Arial" w:eastAsia="Arial" w:hAnsi="Arial"/>
          <w:sz w:val="18"/>
          <w:szCs w:val="18"/>
          <w:color w:val="auto"/>
        </w:rPr>
        <w:t>In September 2016, we entered into a revolving loan agreement with a related party in the amount of up to HK$200.0 million (US$25.6 million) with an interest rate of 4.0% per annum. The loan was paid in full in May 2017.</w:t>
      </w:r>
    </w:p>
    <w:p>
      <w:pPr>
        <w:spacing w:after="0" w:line="170" w:lineRule="exact"/>
        <w:rPr>
          <w:sz w:val="20"/>
          <w:szCs w:val="20"/>
          <w:color w:val="auto"/>
        </w:rPr>
      </w:pPr>
    </w:p>
    <w:p>
      <w:pPr>
        <w:ind w:left="240" w:right="200" w:firstLine="438"/>
        <w:spacing w:after="0" w:line="275" w:lineRule="auto"/>
        <w:rPr>
          <w:sz w:val="20"/>
          <w:szCs w:val="20"/>
          <w:color w:val="auto"/>
        </w:rPr>
      </w:pPr>
      <w:r>
        <w:rPr>
          <w:rFonts w:ascii="Arial" w:cs="Arial" w:eastAsia="Arial" w:hAnsi="Arial"/>
          <w:sz w:val="18"/>
          <w:szCs w:val="18"/>
          <w:color w:val="auto"/>
        </w:rPr>
        <w:t>In December 2017, we entered into a revolving loan agreement with a related party in the amount of up to HK$700.0 million (US$89.6 million) with an interest rate of 4.5% per annum. The loan was paid in full in October 2018.</w:t>
      </w:r>
    </w:p>
    <w:p>
      <w:pPr>
        <w:spacing w:after="0" w:line="170" w:lineRule="exact"/>
        <w:rPr>
          <w:sz w:val="20"/>
          <w:szCs w:val="20"/>
          <w:color w:val="auto"/>
        </w:rPr>
      </w:pPr>
    </w:p>
    <w:p>
      <w:pPr>
        <w:jc w:val="both"/>
        <w:ind w:left="240" w:right="60" w:firstLine="438"/>
        <w:spacing w:after="0" w:line="286" w:lineRule="auto"/>
        <w:rPr>
          <w:sz w:val="20"/>
          <w:szCs w:val="20"/>
          <w:color w:val="auto"/>
        </w:rPr>
      </w:pPr>
      <w:r>
        <w:rPr>
          <w:rFonts w:ascii="Arial" w:cs="Arial" w:eastAsia="Arial" w:hAnsi="Arial"/>
          <w:sz w:val="16"/>
          <w:szCs w:val="16"/>
          <w:color w:val="auto"/>
        </w:rPr>
        <w:t>In February 2017, we entered into a secured loan agreement with a commercial bank in Hong Kong of a share margin financing overdraft facility in the amount of up to HK$180.0 million (US$23.0 million) with an interest rate of 1.5% per annum over HIBOR. The outstanding balance is repayable on demand by the bank or otherwise becomes due in December 2018. As of December 31, 2017, the outstanding balance of the loan was</w:t>
      </w:r>
    </w:p>
    <w:p>
      <w:pPr>
        <w:spacing w:after="0" w:line="1" w:lineRule="exact"/>
        <w:rPr>
          <w:sz w:val="20"/>
          <w:szCs w:val="20"/>
          <w:color w:val="auto"/>
        </w:rPr>
      </w:pPr>
    </w:p>
    <w:p>
      <w:pPr>
        <w:ind w:left="240" w:right="320"/>
        <w:spacing w:after="0" w:line="258" w:lineRule="auto"/>
        <w:rPr>
          <w:sz w:val="20"/>
          <w:szCs w:val="20"/>
          <w:color w:val="auto"/>
        </w:rPr>
      </w:pPr>
      <w:r>
        <w:rPr>
          <w:rFonts w:ascii="Arial" w:cs="Arial" w:eastAsia="Arial" w:hAnsi="Arial"/>
          <w:sz w:val="18"/>
          <w:szCs w:val="18"/>
          <w:color w:val="auto"/>
        </w:rPr>
        <w:t>HK$178.0 million (US$22.8 million), which was guaranteed by Mr. Leaf Hua Li and pledged by shares of our margin financing clients, with market value of HK$406.0 million (US$52.0 million) as collateral.</w:t>
      </w:r>
    </w:p>
    <w:p>
      <w:pPr>
        <w:spacing w:after="0" w:line="185"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In August 2017, we entered into a secured loan agreement with an aggregate facility in the amount of up to HK$140.0 million (US$17.9 million) with a commercial bank in Hong Kong. The loan will mature in August 2018, and bear interest at a floating rate of 1.6% per annum over applicable HIBOR or 0.7% per annum over its deposit rate, whichever is lower (for Hong Kong dollars), or 1.6% per annum over applicable LIBOR or 0.7% per annum over its deposit rate, whichever is lower (for U.S. dollars). As of December 31, 2017, the outstanding balance of the loan was HK$140.0 million (US$17.9 million), which was guaranteed by Mr. Leaf Hua Li pledged by shares of our margin financing clients, with market value of HK$321.0 million (US$41.1 million) as collateral.</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80"/>
          </w:cols>
          <w:pgMar w:left="240" w:top="457"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firstLine="438"/>
        <w:spacing w:after="0" w:line="270" w:lineRule="auto"/>
        <w:rPr>
          <w:sz w:val="20"/>
          <w:szCs w:val="20"/>
          <w:color w:val="auto"/>
        </w:rPr>
      </w:pPr>
      <w:r>
        <w:rPr>
          <w:rFonts w:ascii="Arial" w:cs="Arial" w:eastAsia="Arial" w:hAnsi="Arial"/>
          <w:sz w:val="17"/>
          <w:szCs w:val="17"/>
          <w:color w:val="auto"/>
        </w:rPr>
        <w:t>In September 2017, we entered into a revolving loan agreement with a commercial bank in Hong Kong in the amount of US$35.0 million to finance our margin financing business, which will mature in March 2018. US$30.0 million out of the US$35.0 million loan will bear interest at a floating rate of 1.6% per annum over LIBOR (for U.S. dollars) or 1.5% per annum over HIBOR (for Hong Kong dollars) or 1% per annum over its cost of funds (for Renminbi), while the remaining US$5.0 million with a floating interest rate of 2.2% per annum over LIBOR for U.S. dollars or 2.1% per annum over HIBOR for Hong Kong dollars or 1.5% per annum over its cost of funds for Renminbi. As of December 31, 2017, the outstanding balance of the loan was HK$128.0 million (US$16.4 million), which was guaranteed by Mr. Leaf Hua Li and pledged by shares of our margin financing clients, with market value of HK$179.1 million (US$22.9 million) as collateral.</w:t>
      </w:r>
    </w:p>
    <w:p>
      <w:pPr>
        <w:spacing w:after="0" w:line="179" w:lineRule="exact"/>
        <w:rPr>
          <w:sz w:val="20"/>
          <w:szCs w:val="20"/>
          <w:color w:val="auto"/>
        </w:rPr>
      </w:pPr>
    </w:p>
    <w:p>
      <w:pPr>
        <w:ind w:left="240" w:right="20" w:firstLine="438"/>
        <w:spacing w:after="0" w:line="269" w:lineRule="auto"/>
        <w:rPr>
          <w:sz w:val="20"/>
          <w:szCs w:val="20"/>
          <w:color w:val="auto"/>
        </w:rPr>
      </w:pPr>
      <w:r>
        <w:rPr>
          <w:rFonts w:ascii="Arial" w:cs="Arial" w:eastAsia="Arial" w:hAnsi="Arial"/>
          <w:sz w:val="17"/>
          <w:szCs w:val="17"/>
          <w:color w:val="auto"/>
        </w:rPr>
        <w:t>In November 2017, we entered into a one-year credit agreement with a commercial bank in Hong Kong, which provided a revolving loan facility of up to an aggregate maximum amount of HK$750.0 million (US$96.0 million), or 90% of its equivalent in Renminbi. The facility will expire in November 2018. We are entitled to elect the interest period for each advance, including one, two or three months. In case of drawdowns in Hong Kong dollars, the interest rate is 1.5% per annum over HIBOR for the relevant interest period. In case of drawdowns in Renminbi, the interest rate is 1.5% per annum over the Renminbi HIBOR for the relevant interest period. All amounts borrowed under the agreement, including interest accrued thereon, should be repaid or re-borrowed at the end of each interest period. As of December 31, 2017, we had an outstanding borrowing balance of RMB380.0 million (US$58.4 million) under the facility, which was guaranteed by Mr. Leaf Hua Li and pledged by shares of our margin financing clients with market value of HK$1.3 billion (US$166.3 million) as collateral.</w:t>
      </w:r>
    </w:p>
    <w:p>
      <w:pPr>
        <w:spacing w:after="0" w:line="181" w:lineRule="exact"/>
        <w:rPr>
          <w:sz w:val="20"/>
          <w:szCs w:val="20"/>
          <w:color w:val="auto"/>
        </w:rPr>
      </w:pPr>
    </w:p>
    <w:p>
      <w:pPr>
        <w:ind w:left="240" w:right="20" w:firstLine="438"/>
        <w:spacing w:after="0" w:line="300" w:lineRule="auto"/>
        <w:rPr>
          <w:sz w:val="20"/>
          <w:szCs w:val="20"/>
          <w:color w:val="auto"/>
        </w:rPr>
      </w:pPr>
      <w:r>
        <w:rPr>
          <w:rFonts w:ascii="Arial" w:cs="Arial" w:eastAsia="Arial" w:hAnsi="Arial"/>
          <w:sz w:val="16"/>
          <w:szCs w:val="16"/>
          <w:color w:val="auto"/>
        </w:rPr>
        <w:t>In December 2017, we entered into an uncommitted revolving loan agreement with a commercial bank in Hong Kong of a facility in the amount of up to HK$500.0 million (US$64.0 million) or its equivalent in U.S. dollars or Renminbi. This facility will expire in December 2018. Each drawdown will bear interest at a floating rate, which will be determined on a case-by-case basis in accordance with the lender’s practice and shall be agreed by us. As of December 31, 2017, the outstanding balance of the loan was HK$300.0 million (US$38.4 million), which was guaranteed by Mr. Leaf Hua Li.</w:t>
      </w:r>
    </w:p>
    <w:p>
      <w:pPr>
        <w:spacing w:after="0" w:line="154" w:lineRule="exact"/>
        <w:rPr>
          <w:sz w:val="20"/>
          <w:szCs w:val="20"/>
          <w:color w:val="auto"/>
        </w:rPr>
      </w:pPr>
    </w:p>
    <w:p>
      <w:pPr>
        <w:ind w:left="240" w:right="60" w:firstLine="438"/>
        <w:spacing w:after="0" w:line="277" w:lineRule="auto"/>
        <w:rPr>
          <w:sz w:val="20"/>
          <w:szCs w:val="20"/>
          <w:color w:val="auto"/>
        </w:rPr>
      </w:pPr>
      <w:r>
        <w:rPr>
          <w:rFonts w:ascii="Arial" w:cs="Arial" w:eastAsia="Arial" w:hAnsi="Arial"/>
          <w:sz w:val="17"/>
          <w:szCs w:val="17"/>
          <w:color w:val="auto"/>
        </w:rPr>
        <w:t>In December 2017, we entered into a loan agreement, at an interest rate of 5.8% per annum, with an aggregate amount of up to US$8.0 million or its equivalent amount in Renminbi with a commercial bank in China, of which HK$5.0 million (US$0.6 million) is revolving with maturity date in December 2018, while the remaining HK$3.0 million (US$0.4 million) is non-revolving and will expire in December 2020. As of December 31, 2017, the outstanding balance of the loan was HK$16.7 million (US$2.1 million), which was guaranteed by Mr. Leaf Hua Li.</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5" w:lineRule="exact"/>
        <w:rPr>
          <w:sz w:val="20"/>
          <w:szCs w:val="20"/>
          <w:color w:val="auto"/>
        </w:rPr>
      </w:pPr>
    </w:p>
    <w:p>
      <w:pPr>
        <w:ind w:left="240" w:firstLine="438"/>
        <w:spacing w:after="0" w:line="290" w:lineRule="auto"/>
        <w:rPr>
          <w:sz w:val="20"/>
          <w:szCs w:val="20"/>
          <w:color w:val="auto"/>
        </w:rPr>
      </w:pPr>
      <w:r>
        <w:rPr>
          <w:rFonts w:ascii="Arial" w:cs="Arial" w:eastAsia="Arial" w:hAnsi="Arial"/>
          <w:sz w:val="16"/>
          <w:szCs w:val="16"/>
          <w:color w:val="auto"/>
        </w:rPr>
        <w:t>In May 2015, we issued the convertible note in the aggregated principal amount of HK$30.0 million (US$3,854,719) to Qiantang River Investment Limited, one of our investors, with a compounding interest rate at 4% per annum, due one year after the issuance date. Subsequently, we and the holder of the convertible note agreed to extend the maturity date for one more year. Pursuant to the convertible note agreement, the holder of the convertible note may (i) convert the outstanding principal of the convertible note and accrued but unpaid interest under this convertible note into a number of shares of Series C preferred shares of our company at a per share price of Series C preferred shares, or (ii) convert the outstanding balance in whole or in part into fully paid and non-assessable shares of our company’s ordinary shares at a price per share equal to the fair market value of our company’s ordinary shares immediately prior to a change of control or initial public offering, as applicable.</w:t>
      </w:r>
    </w:p>
    <w:p>
      <w:pPr>
        <w:spacing w:after="0" w:line="9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240" w:top="457"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our contractual obligations as of December 31, 2017:</w:t>
      </w:r>
    </w:p>
    <w:p>
      <w:pPr>
        <w:spacing w:after="0" w:line="241"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Payment due by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5715</wp:posOffset>
            </wp:positionV>
            <wp:extent cx="28390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ind w:left="6780"/>
        <w:spacing w:after="0"/>
        <w:tabs>
          <w:tab w:leader="none" w:pos="7560" w:val="left"/>
          <w:tab w:leader="none" w:pos="8280" w:val="left"/>
          <w:tab w:leader="none" w:pos="9000" w:val="left"/>
          <w:tab w:leader="none" w:pos="9660" w:val="left"/>
          <w:tab w:leader="none" w:pos="1024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3"/>
          <w:szCs w:val="13"/>
          <w:b w:val="1"/>
          <w:bCs w:val="1"/>
          <w:color w:val="auto"/>
        </w:rPr>
        <w:t>2022 and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-3810</wp:posOffset>
            </wp:positionV>
            <wp:extent cx="28390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p>
      <w:pPr>
        <w:ind w:left="8300"/>
        <w:spacing w:after="0" w:line="228" w:lineRule="auto"/>
        <w:rPr>
          <w:sz w:val="20"/>
          <w:szCs w:val="20"/>
          <w:color w:val="auto"/>
        </w:rPr>
      </w:pPr>
      <w:r>
        <w:rPr>
          <w:rFonts w:ascii="Arial" w:cs="Arial" w:eastAsia="Arial" w:hAnsi="Arial"/>
          <w:sz w:val="14"/>
          <w:szCs w:val="14"/>
          <w:b w:val="1"/>
          <w:bCs w:val="1"/>
          <w:color w:val="auto"/>
        </w:rPr>
        <w:t>(in HK$ thousands)</w:t>
      </w:r>
    </w:p>
    <w:tbl>
      <w:tblPr>
        <w:tblLayout w:type="fixed"/>
        <w:tblInd w:w="24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23,645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9,842</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7,704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6,099</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23,645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9,842</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7,704</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6,099</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93980</wp:posOffset>
            </wp:positionV>
            <wp:extent cx="6991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Note:</w:t>
      </w:r>
    </w:p>
    <w:p>
      <w:pPr>
        <w:ind w:left="560" w:right="160" w:hanging="324"/>
        <w:spacing w:after="0" w:line="236" w:lineRule="auto"/>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Operating lease commitments consist of the commitments under the lease agreements for our office premises. We lease our office facilities under non-cancellable operating leases with various expiration dates through October 31, 2020.</w:t>
      </w:r>
    </w:p>
    <w:p>
      <w:pPr>
        <w:spacing w:after="0" w:line="186" w:lineRule="exact"/>
        <w:rPr>
          <w:sz w:val="20"/>
          <w:szCs w:val="20"/>
          <w:color w:val="auto"/>
        </w:rPr>
      </w:pPr>
    </w:p>
    <w:p>
      <w:pPr>
        <w:ind w:left="240" w:right="980" w:firstLine="438"/>
        <w:spacing w:after="0" w:line="275" w:lineRule="auto"/>
        <w:rPr>
          <w:sz w:val="20"/>
          <w:szCs w:val="20"/>
          <w:color w:val="auto"/>
        </w:rPr>
      </w:pPr>
      <w:r>
        <w:rPr>
          <w:rFonts w:ascii="Arial" w:cs="Arial" w:eastAsia="Arial" w:hAnsi="Arial"/>
          <w:sz w:val="18"/>
          <w:szCs w:val="18"/>
          <w:color w:val="auto"/>
        </w:rPr>
        <w:t>Other than as shown above, we did not have any significant capital and other commitments, long-term obligations or guarantees as of December 31, 2017.</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19" w:lineRule="exact"/>
        <w:rPr>
          <w:sz w:val="20"/>
          <w:szCs w:val="20"/>
          <w:color w:val="auto"/>
        </w:rPr>
      </w:pPr>
    </w:p>
    <w:p>
      <w:pPr>
        <w:ind w:left="240" w:right="40" w:firstLine="438"/>
        <w:spacing w:after="0" w:line="262" w:lineRule="auto"/>
        <w:rPr>
          <w:sz w:val="20"/>
          <w:szCs w:val="20"/>
          <w:color w:val="auto"/>
        </w:rPr>
      </w:pPr>
      <w:r>
        <w:rPr>
          <w:rFonts w:ascii="Arial" w:cs="Arial" w:eastAsia="Arial" w:hAnsi="Arial"/>
          <w:sz w:val="18"/>
          <w:szCs w:val="18"/>
          <w:color w:val="auto"/>
        </w:rPr>
        <w:t>We enter into various off-balance sheet arrangements in the ordinary course of business, primarily to meet the needs of our clients. These arrangements include the securities lending and borrowing agreements with our clients and other business parties. Additionally, we enter into guarantees and other similar arrangements in the ordinary course of business.</w:t>
      </w:r>
    </w:p>
    <w:p>
      <w:pPr>
        <w:spacing w:after="0" w:line="181" w:lineRule="exact"/>
        <w:rPr>
          <w:sz w:val="20"/>
          <w:szCs w:val="20"/>
          <w:color w:val="auto"/>
        </w:rPr>
      </w:pPr>
    </w:p>
    <w:p>
      <w:pPr>
        <w:ind w:left="240" w:right="200" w:firstLine="438"/>
        <w:spacing w:after="0" w:line="300" w:lineRule="auto"/>
        <w:rPr>
          <w:sz w:val="20"/>
          <w:szCs w:val="20"/>
          <w:color w:val="auto"/>
        </w:rPr>
      </w:pPr>
      <w:r>
        <w:rPr>
          <w:rFonts w:ascii="Arial" w:cs="Arial" w:eastAsia="Arial" w:hAnsi="Arial"/>
          <w:sz w:val="16"/>
          <w:szCs w:val="16"/>
          <w:color w:val="auto"/>
        </w:rPr>
        <w:t>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Critical Accounting Policies</w:t>
      </w:r>
    </w:p>
    <w:p>
      <w:pPr>
        <w:spacing w:after="0" w:line="119" w:lineRule="exact"/>
        <w:rPr>
          <w:sz w:val="20"/>
          <w:szCs w:val="20"/>
          <w:color w:val="auto"/>
        </w:rPr>
      </w:pPr>
    </w:p>
    <w:p>
      <w:pPr>
        <w:jc w:val="both"/>
        <w:ind w:left="240" w:right="320" w:firstLine="438"/>
        <w:spacing w:after="0" w:line="309" w:lineRule="auto"/>
        <w:rPr>
          <w:sz w:val="20"/>
          <w:szCs w:val="20"/>
          <w:color w:val="auto"/>
        </w:rPr>
      </w:pPr>
      <w:r>
        <w:rPr>
          <w:rFonts w:ascii="Arial" w:cs="Arial" w:eastAsia="Arial" w:hAnsi="Arial"/>
          <w:sz w:val="16"/>
          <w:szCs w:val="16"/>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49" w:lineRule="exact"/>
        <w:rPr>
          <w:sz w:val="20"/>
          <w:szCs w:val="20"/>
          <w:color w:val="auto"/>
        </w:rPr>
      </w:pPr>
    </w:p>
    <w:p>
      <w:pPr>
        <w:ind w:left="240" w:right="40" w:firstLine="438"/>
        <w:spacing w:after="0" w:line="274" w:lineRule="auto"/>
        <w:rPr>
          <w:sz w:val="20"/>
          <w:szCs w:val="20"/>
          <w:color w:val="auto"/>
        </w:rPr>
      </w:pPr>
      <w:r>
        <w:rPr>
          <w:rFonts w:ascii="Arial" w:cs="Arial" w:eastAsia="Arial" w:hAnsi="Arial"/>
          <w:sz w:val="17"/>
          <w:szCs w:val="17"/>
          <w:color w:val="auto"/>
        </w:rPr>
        <w:t>We prepare our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173" w:lineRule="exact"/>
        <w:rPr>
          <w:sz w:val="20"/>
          <w:szCs w:val="20"/>
          <w:color w:val="auto"/>
        </w:rPr>
      </w:pPr>
    </w:p>
    <w:p>
      <w:pPr>
        <w:ind w:left="240" w:right="160" w:firstLine="438"/>
        <w:spacing w:after="0" w:line="289" w:lineRule="auto"/>
        <w:rPr>
          <w:sz w:val="20"/>
          <w:szCs w:val="20"/>
          <w:color w:val="auto"/>
        </w:rPr>
      </w:pPr>
      <w:r>
        <w:rPr>
          <w:rFonts w:ascii="Arial" w:cs="Arial" w:eastAsia="Arial" w:hAnsi="Arial"/>
          <w:sz w:val="16"/>
          <w:szCs w:val="16"/>
          <w:color w:val="auto"/>
        </w:rPr>
        <w:t>The following descriptions of critical accounting policies, judgments and estimates should be read in conjunction with our consolidated financial statements and accompanying notes and other disclosures included in this prospectus. When reviewing our financial statements, you should consider</w:t>
      </w:r>
    </w:p>
    <w:p>
      <w:pPr>
        <w:spacing w:after="0" w:line="1" w:lineRule="exact"/>
        <w:rPr>
          <w:sz w:val="20"/>
          <w:szCs w:val="20"/>
          <w:color w:val="auto"/>
        </w:rPr>
      </w:pPr>
    </w:p>
    <w:p>
      <w:pPr>
        <w:ind w:left="240" w:right="20" w:hanging="4"/>
        <w:spacing w:after="0" w:line="258" w:lineRule="auto"/>
        <w:tabs>
          <w:tab w:leader="none" w:pos="4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selection of critical accounting policies, (ii) the judgments and other uncertainties affecting the application of such policies and (iii) the sensitivity of reported results to changes in conditions and assumptions.</w:t>
      </w:r>
    </w:p>
    <w:p>
      <w:pPr>
        <w:spacing w:after="0" w:line="185" w:lineRule="exact"/>
        <w:rPr>
          <w:sz w:val="20"/>
          <w:szCs w:val="20"/>
          <w:color w:val="auto"/>
        </w:rPr>
      </w:pPr>
    </w:p>
    <w:p>
      <w:pPr>
        <w:ind w:left="240" w:right="140" w:firstLine="438"/>
        <w:spacing w:after="0" w:line="275" w:lineRule="auto"/>
        <w:rPr>
          <w:sz w:val="20"/>
          <w:szCs w:val="20"/>
          <w:color w:val="auto"/>
        </w:rPr>
      </w:pPr>
      <w:r>
        <w:rPr>
          <w:rFonts w:ascii="Arial" w:cs="Arial" w:eastAsia="Arial" w:hAnsi="Arial"/>
          <w:sz w:val="18"/>
          <w:szCs w:val="18"/>
          <w:color w:val="auto"/>
        </w:rPr>
        <w:t>The consolidated financial statements include the financial statements of our Company, our subsidiaries, our VIE and its subsidiary for which we or a subsidiary of ours is the primary beneficiary.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7"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5" w:lineRule="exact"/>
        <w:rPr>
          <w:sz w:val="20"/>
          <w:szCs w:val="20"/>
          <w:color w:val="auto"/>
        </w:rPr>
      </w:pPr>
    </w:p>
    <w:p>
      <w:pPr>
        <w:ind w:left="240" w:right="120" w:firstLine="438"/>
        <w:spacing w:after="0" w:line="284" w:lineRule="auto"/>
        <w:rPr>
          <w:sz w:val="20"/>
          <w:szCs w:val="20"/>
          <w:color w:val="auto"/>
        </w:rPr>
      </w:pPr>
      <w:r>
        <w:rPr>
          <w:rFonts w:ascii="Arial" w:cs="Arial" w:eastAsia="Arial" w:hAnsi="Arial"/>
          <w:sz w:val="17"/>
          <w:szCs w:val="17"/>
          <w:color w:val="auto"/>
        </w:rPr>
        <w:t>A Subsidiary is an entity in which we, directly or indirectly, control more than one half of the voting power; or have the power to appoint or remove the majority of the members of the board of directors; or to cast a majority of votes at the meeting of directors; or have the power to govern the financial and operating policies of the investee under a statute or agreement among the shareholders or equity holders.</w:t>
      </w:r>
    </w:p>
    <w:p>
      <w:pPr>
        <w:spacing w:after="0" w:line="165" w:lineRule="exact"/>
        <w:rPr>
          <w:sz w:val="20"/>
          <w:szCs w:val="20"/>
          <w:color w:val="auto"/>
        </w:rPr>
      </w:pPr>
    </w:p>
    <w:p>
      <w:pPr>
        <w:jc w:val="both"/>
        <w:ind w:left="240" w:right="80" w:firstLine="438"/>
        <w:spacing w:after="0" w:line="262" w:lineRule="auto"/>
        <w:rPr>
          <w:sz w:val="20"/>
          <w:szCs w:val="20"/>
          <w:color w:val="auto"/>
        </w:rPr>
      </w:pPr>
      <w:r>
        <w:rPr>
          <w:rFonts w:ascii="Arial" w:cs="Arial" w:eastAsia="Arial" w:hAnsi="Arial"/>
          <w:sz w:val="18"/>
          <w:szCs w:val="18"/>
          <w:color w:val="auto"/>
        </w:rPr>
        <w:t>A consolidated VIE is an entity in which we, or our subsidiary, through contractual arrangements, have the power to direct the activities that most significantly impact the entity’s economic performance, bears the risks of and enjoys the rewards normally associated with ownership of the entity, and therefore we or our subsidiary is the primary beneficiary of the entity.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All transactions and balances among us, our subsidiaries, the VIE and its subsidiary have been eliminated upon consolidation.</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left="240" w:right="60" w:firstLine="438"/>
        <w:spacing w:after="0" w:line="288"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revenues, cost and expenses during the reported period in the consolidated financial statements and accompanying notes. Significant accounting estimates reflected in our consolidated financial statements mainly include, but are not limited to, assessment of whether we act as a principal or an agent in different revenue streams, the determination of estimated selling prices of multiple element revenue contracts, the estimation of selling and marketing expense from incentive program, the valuation and recognition of share-based compensation arrangements, depreciable lives of property and equipment, useful life of intangible assets, assessment for impairment of loans and advance, provision of income tax and valuation allowance for deferred tax asset as well as determination of the fair value of preferred shares and ordinary shares. Actual results could differ from those estimates.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 and Foreign Currency Translation</w:t>
      </w:r>
    </w:p>
    <w:p>
      <w:pPr>
        <w:spacing w:after="0" w:line="115"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Our operating results are reported in the consolidated statements of comprehensive loss pursuant to FASB ASC Topic 220, “Comprehensive Income.” Comprehensive income consists of two components: net income and other comprehensive income (“OCI”). Our OCI is comprised of gains and losses resulting from translating foreign currency financial statements of entities, of which functional currency is other than Hong Kong dollar which is the presentational currency of us, net of related income taxes, where applicable. Our subsidiaries’ assets and liabilities are translated into Hong Kong dollars at period-end exchange rates, and revenues and expenses are translated at average exchange rates prevailing during the period. Adjustments that result from translating amounts from a subsidiary’s functional currency to the Hong Kong dollar (as described above) are reported net of tax, where applicable, in accumulated OCI in the consolidated balance sheets.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Trading Receivables from and Payables to Clients, Brokers and Clearing Organizations</w:t>
      </w:r>
    </w:p>
    <w:p>
      <w:pPr>
        <w:spacing w:after="0" w:line="115" w:lineRule="exact"/>
        <w:rPr>
          <w:sz w:val="20"/>
          <w:szCs w:val="20"/>
          <w:color w:val="auto"/>
        </w:rPr>
      </w:pPr>
    </w:p>
    <w:p>
      <w:pPr>
        <w:ind w:left="240" w:right="40" w:firstLine="438"/>
        <w:spacing w:after="0" w:line="300" w:lineRule="auto"/>
        <w:rPr>
          <w:sz w:val="20"/>
          <w:szCs w:val="20"/>
          <w:color w:val="auto"/>
        </w:rPr>
      </w:pPr>
      <w:r>
        <w:rPr>
          <w:rFonts w:ascii="Arial" w:cs="Arial" w:eastAsia="Arial" w:hAnsi="Arial"/>
          <w:sz w:val="16"/>
          <w:szCs w:val="16"/>
          <w:color w:val="auto"/>
        </w:rPr>
        <w:t>Client securities transactions are recorded on a settlement date basis. Trading receivables from and payables to clients include amounts due on brokerage transactions. Receivables from and payables to brokers and clearing organization mainly include receivables and payables from unsettled trades, including amounts receivable for securities not delivered by us to the purchaser by the settlement date and cash deposits. Payables to brokers and clearing organization also include amounts payable for securities not received by us from a seller by the settlement date.</w:t>
      </w:r>
    </w:p>
    <w:p>
      <w:pPr>
        <w:spacing w:after="0" w:line="154" w:lineRule="exact"/>
        <w:rPr>
          <w:sz w:val="20"/>
          <w:szCs w:val="20"/>
          <w:color w:val="auto"/>
        </w:rPr>
      </w:pPr>
    </w:p>
    <w:p>
      <w:pPr>
        <w:jc w:val="center"/>
        <w:ind w:left="760" w:right="160"/>
        <w:spacing w:after="0" w:line="446" w:lineRule="auto"/>
        <w:rPr>
          <w:sz w:val="20"/>
          <w:szCs w:val="20"/>
          <w:color w:val="auto"/>
        </w:rPr>
      </w:pPr>
      <w:r>
        <w:rPr>
          <w:rFonts w:ascii="Arial" w:cs="Arial" w:eastAsia="Arial" w:hAnsi="Arial"/>
          <w:sz w:val="18"/>
          <w:szCs w:val="18"/>
          <w:color w:val="auto"/>
        </w:rPr>
        <w:t>Clearing settlement fund deposited in the clearing organizations for the clearing purpose is recognized in receivables from clearing organization. 89</w:t>
      </w:r>
    </w:p>
    <w:p>
      <w:pPr>
        <w:sectPr>
          <w:pgSz w:w="11900" w:h="16838" w:orient="portrait"/>
          <w:cols w:equalWidth="0" w:num="1">
            <w:col w:w="11180"/>
          </w:cols>
          <w:pgMar w:left="240" w:top="457"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320" w:firstLine="438"/>
        <w:spacing w:after="0" w:line="284" w:lineRule="auto"/>
        <w:rPr>
          <w:sz w:val="20"/>
          <w:szCs w:val="20"/>
          <w:color w:val="auto"/>
        </w:rPr>
      </w:pPr>
      <w:r>
        <w:rPr>
          <w:rFonts w:ascii="Arial" w:cs="Arial" w:eastAsia="Arial" w:hAnsi="Arial"/>
          <w:sz w:val="17"/>
          <w:szCs w:val="17"/>
          <w:color w:val="auto"/>
        </w:rPr>
        <w:t>We borrowed margin loan from executing brokers in the United States, with the amount of HK$3.0 million and HK$920.2 million (US$117.8 million) as of December 31, 2016 and 2017, respectively, and with the benchmark interest rate plus premium differentiated depending on the trading volume, and immediately lent to margin clients. Margin loan borrowed is recognized in the payables to brokers.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Brokerage commission and handling charge income</w:t>
      </w:r>
    </w:p>
    <w:p>
      <w:pPr>
        <w:spacing w:after="0" w:line="115" w:lineRule="exact"/>
        <w:rPr>
          <w:sz w:val="20"/>
          <w:szCs w:val="20"/>
          <w:color w:val="auto"/>
        </w:rPr>
      </w:pPr>
    </w:p>
    <w:p>
      <w:pPr>
        <w:ind w:left="240" w:right="220" w:firstLine="438"/>
        <w:spacing w:after="0" w:line="339" w:lineRule="auto"/>
        <w:rPr>
          <w:sz w:val="20"/>
          <w:szCs w:val="20"/>
          <w:color w:val="auto"/>
        </w:rPr>
      </w:pPr>
      <w:r>
        <w:rPr>
          <w:rFonts w:ascii="Arial" w:cs="Arial" w:eastAsia="Arial" w:hAnsi="Arial"/>
          <w:sz w:val="16"/>
          <w:szCs w:val="16"/>
          <w:color w:val="auto"/>
        </w:rPr>
        <w:t>Brokerage commission income earned for executing and/or clearing transactions are accrued on a trade date basis. Handling and settlement fee income derived from services such as settlement services and subscription and dividend collection handling services are accrued on a trade date basis.</w:t>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Interest income</w:t>
      </w:r>
    </w:p>
    <w:p>
      <w:pPr>
        <w:spacing w:after="0" w:line="115"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We earn interest income primarily in connection with our margin financing and securities lending services, IPO financing and deposits with banks, which are recorded on an accrual basis and are included in interest income in the consolidated statements of comprehensive loss. Interest income is recognized as it accrues using the effective interest method.</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left="240" w:right="40" w:firstLine="438"/>
        <w:spacing w:after="0" w:line="262" w:lineRule="auto"/>
        <w:rPr>
          <w:sz w:val="20"/>
          <w:szCs w:val="20"/>
          <w:color w:val="auto"/>
        </w:rPr>
      </w:pPr>
      <w:r>
        <w:rPr>
          <w:rFonts w:ascii="Arial" w:cs="Arial" w:eastAsia="Arial" w:hAnsi="Arial"/>
          <w:sz w:val="18"/>
          <w:szCs w:val="18"/>
          <w:color w:val="auto"/>
        </w:rPr>
        <w:t>Other income consists of enterprise public relations service provided to corporate clients, underwriting income, IPO subscription service charge income, currency exchange service income from clients, income from market data service, and client referral income from brokers, among others. Other income is recognized when the related services are rendered.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Gains and Losses</w:t>
      </w:r>
    </w:p>
    <w:p>
      <w:pPr>
        <w:spacing w:after="0" w:line="115" w:lineRule="exact"/>
        <w:rPr>
          <w:sz w:val="20"/>
          <w:szCs w:val="20"/>
          <w:color w:val="auto"/>
        </w:rPr>
      </w:pPr>
    </w:p>
    <w:p>
      <w:pPr>
        <w:ind w:left="240" w:right="20" w:firstLine="438"/>
        <w:spacing w:after="0" w:line="300" w:lineRule="auto"/>
        <w:rPr>
          <w:sz w:val="20"/>
          <w:szCs w:val="20"/>
          <w:color w:val="auto"/>
        </w:rPr>
      </w:pPr>
      <w:r>
        <w:rPr>
          <w:rFonts w:ascii="Arial" w:cs="Arial" w:eastAsia="Arial" w:hAnsi="Arial"/>
          <w:sz w:val="16"/>
          <w:szCs w:val="16"/>
          <w:color w:val="auto"/>
        </w:rPr>
        <w:t>Foreign currency transactions denominated in currencies other than the functional currency are translated into the functional currency using the exchange rates prevailing at the dates of the transactions. Monetary assets and liabilities denominated in foreign currencies at the balance sheet date are re-measured at the applicable rates of exchange in effect at that date. Foreign currency gain or loss resulting from the settlement of such transactions and from re-measurement at period-end is recognized in “Others, net” in the consolidated statements of comprehensive loss.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Incentives</w:t>
      </w:r>
    </w:p>
    <w:p>
      <w:pPr>
        <w:spacing w:after="0" w:line="115" w:lineRule="exact"/>
        <w:rPr>
          <w:sz w:val="20"/>
          <w:szCs w:val="20"/>
          <w:color w:val="auto"/>
        </w:rPr>
      </w:pPr>
    </w:p>
    <w:p>
      <w:pPr>
        <w:ind w:left="240" w:right="180" w:firstLine="438"/>
        <w:spacing w:after="0" w:line="262" w:lineRule="auto"/>
        <w:rPr>
          <w:sz w:val="20"/>
          <w:szCs w:val="20"/>
          <w:color w:val="auto"/>
        </w:rPr>
      </w:pPr>
      <w:r>
        <w:rPr>
          <w:rFonts w:ascii="Arial" w:cs="Arial" w:eastAsia="Arial" w:hAnsi="Arial"/>
          <w:sz w:val="18"/>
          <w:szCs w:val="18"/>
          <w:color w:val="auto"/>
        </w:rPr>
        <w:t>We offer self-managed customer loyalty program points, which can be used in mobile app and website to redeem a variety of concessions or services, such as commission-deduction coupons and Level II A shares securities market data card. Clients have a variety of ways to obtain the points. The major accounting policy for the points program is described as follows:</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Sales contracts related scenarios</w:t>
      </w:r>
    </w:p>
    <w:p>
      <w:pPr>
        <w:spacing w:after="0" w:line="115" w:lineRule="exact"/>
        <w:rPr>
          <w:sz w:val="20"/>
          <w:szCs w:val="20"/>
          <w:color w:val="auto"/>
        </w:rPr>
      </w:pPr>
    </w:p>
    <w:p>
      <w:pPr>
        <w:ind w:left="240" w:right="120" w:firstLine="438"/>
        <w:spacing w:after="0" w:line="254" w:lineRule="auto"/>
        <w:rPr>
          <w:sz w:val="20"/>
          <w:szCs w:val="20"/>
          <w:color w:val="auto"/>
        </w:rPr>
      </w:pPr>
      <w:r>
        <w:rPr>
          <w:rFonts w:ascii="Arial" w:cs="Arial" w:eastAsia="Arial" w:hAnsi="Arial"/>
          <w:sz w:val="18"/>
          <w:szCs w:val="18"/>
          <w:color w:val="auto"/>
        </w:rPr>
        <w:t>The sales contracts related scenarios include client entering into the first Hong Kong stock brokerage transaction, first U.S. stock brokerage transaction, IPO stock brokerage transactions, and currency exchange services. We conclude the points offered linked to the purchase transaction of these scenarios are a material right and accordingly a separate performance obligation according to ASC 606, and should be taken into consideration when allocating the transaction price of the sales. We determine the value of each point based on fair value of the concessions and services that can be redeemed with points. We also estimate the probability of the points redemption when performing the allocation. Since the historical information is not yet available for us to</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7"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
        <w:spacing w:after="0" w:line="255" w:lineRule="auto"/>
        <w:rPr>
          <w:sz w:val="20"/>
          <w:szCs w:val="20"/>
          <w:color w:val="auto"/>
        </w:rPr>
      </w:pPr>
      <w:r>
        <w:rPr>
          <w:rFonts w:ascii="Arial" w:cs="Arial" w:eastAsia="Arial" w:hAnsi="Arial"/>
          <w:sz w:val="18"/>
          <w:szCs w:val="18"/>
          <w:color w:val="auto"/>
        </w:rPr>
        <w:t>determine any potential points forfeitures and the fact that most services can be redeemed without requiring a significant number of points in light of the number of points provided to users, we believe it is reasonable to assume all points will be redeemed and no forfeiture is estimated currently. We will apply and update the estimated redemption rate and the estimated value of each point at each reporting period. The amount allocated to the points as separate performance obligation is recorded as contract liabilities and revenues should be recognized when future concessions or services are transferred.</w:t>
      </w:r>
    </w:p>
    <w:p>
      <w:pPr>
        <w:spacing w:after="0" w:line="189" w:lineRule="exact"/>
        <w:rPr>
          <w:sz w:val="20"/>
          <w:szCs w:val="20"/>
          <w:color w:val="auto"/>
        </w:rPr>
      </w:pPr>
    </w:p>
    <w:p>
      <w:pPr>
        <w:ind w:left="240" w:right="160" w:firstLine="438"/>
        <w:spacing w:after="0" w:line="300" w:lineRule="auto"/>
        <w:rPr>
          <w:sz w:val="20"/>
          <w:szCs w:val="20"/>
          <w:color w:val="auto"/>
        </w:rPr>
      </w:pPr>
      <w:r>
        <w:rPr>
          <w:rFonts w:ascii="Arial" w:cs="Arial" w:eastAsia="Arial" w:hAnsi="Arial"/>
          <w:sz w:val="16"/>
          <w:szCs w:val="16"/>
          <w:color w:val="auto"/>
        </w:rPr>
        <w:t>For the years ended December 31, 2016 and 2017, the revenue portion allocated to the points as separate performance obligation were HK$1.2 million and HK$2.0 million (US$261.4 thousand), which is recorded as contract liability. For the years ended December 31, 2016 and 2017, the total points recorded as a reduction of revenues were HK$32.3 thousand and HK$330.1 thousand (US$42.2 thousand). As of December 31, 2016 and 2017, contract liabilities recorded related to unredeemed points were HK$1.1 million and HK$2.5 million (US$314.1 thousand), respectively.</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Other scenarios</w:t>
      </w:r>
    </w:p>
    <w:p>
      <w:pPr>
        <w:spacing w:after="0" w:line="115" w:lineRule="exact"/>
        <w:rPr>
          <w:sz w:val="20"/>
          <w:szCs w:val="20"/>
          <w:color w:val="auto"/>
        </w:rPr>
      </w:pPr>
    </w:p>
    <w:p>
      <w:pPr>
        <w:ind w:left="240" w:right="300" w:firstLine="438"/>
        <w:spacing w:after="0" w:line="254" w:lineRule="auto"/>
        <w:rPr>
          <w:sz w:val="20"/>
          <w:szCs w:val="20"/>
          <w:color w:val="auto"/>
        </w:rPr>
      </w:pPr>
      <w:r>
        <w:rPr>
          <w:rFonts w:ascii="Arial" w:cs="Arial" w:eastAsia="Arial" w:hAnsi="Arial"/>
          <w:sz w:val="18"/>
          <w:szCs w:val="18"/>
          <w:color w:val="auto"/>
        </w:rPr>
        <w:t>Clients or the users of the mobile application can also obtain points through other ways such as logging into the mobile application, opening a trade account and inviting friends, etc. We believe these points are to encourage user engagement and generate market awareness. As a result, we account for such points as selling and marketing expenses with a corresponding liability recorded under accrued expenses and other liabilities of our consolidated balance sheets upon the offering of these points. We estimate liabilities under the customer loyalty program based on cost of the concessions or services that can be redeemed with the assumption of full redemption. At the time of redemption, we record a reduction of accrued expenses and other liabilities.</w:t>
      </w:r>
    </w:p>
    <w:p>
      <w:pPr>
        <w:spacing w:after="0" w:line="190"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For the years ended December 31, 2016 and 2017 the total points recorded as selling and marketing expenses were HK$3.1 million and HK$197.7 thousand (US$25.3 thousand). As of December 31, 2016 and 2017, liabilities recorded related to unredeemed points in other scenarios were HK$3.0 million and HK$488.3 thousand (US$62.5 thousand), respectively.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ind w:left="240" w:right="100" w:firstLine="438"/>
        <w:spacing w:after="0" w:line="275" w:lineRule="auto"/>
        <w:rPr>
          <w:sz w:val="20"/>
          <w:szCs w:val="20"/>
          <w:color w:val="auto"/>
        </w:rPr>
      </w:pPr>
      <w:r>
        <w:rPr>
          <w:rFonts w:ascii="Arial" w:cs="Arial" w:eastAsia="Arial" w:hAnsi="Arial"/>
          <w:sz w:val="18"/>
          <w:szCs w:val="18"/>
          <w:color w:val="auto"/>
        </w:rPr>
        <w:t>Cash and cash equivalents represent cash on hand, demand deposits and time deposits placed with banks or other financial institutions, which are unrestricted to withdrawal or use, and which have original maturities of three months or less.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Held on behalf of Clients</w:t>
      </w:r>
    </w:p>
    <w:p>
      <w:pPr>
        <w:spacing w:after="0" w:line="115"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We have classified clients’ deposits as cash held on behalf of our clients under the assets section in the consolidated balance sheets and recognized the corresponding accounts payable to the respective clients under the liabilities section.</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5" w:lineRule="exact"/>
        <w:rPr>
          <w:sz w:val="20"/>
          <w:szCs w:val="20"/>
          <w:color w:val="auto"/>
        </w:rPr>
      </w:pPr>
    </w:p>
    <w:p>
      <w:pPr>
        <w:ind w:left="240" w:right="80" w:firstLine="438"/>
        <w:spacing w:after="0" w:line="257" w:lineRule="auto"/>
        <w:rPr>
          <w:sz w:val="20"/>
          <w:szCs w:val="20"/>
          <w:color w:val="auto"/>
        </w:rPr>
      </w:pPr>
      <w:r>
        <w:rPr>
          <w:rFonts w:ascii="Arial" w:cs="Arial" w:eastAsia="Arial" w:hAnsi="Arial"/>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w:t>
      </w:r>
    </w:p>
    <w:p>
      <w:pPr>
        <w:spacing w:after="0" w:line="188" w:lineRule="exact"/>
        <w:rPr>
          <w:sz w:val="20"/>
          <w:szCs w:val="20"/>
          <w:color w:val="auto"/>
        </w:rPr>
      </w:pPr>
    </w:p>
    <w:p>
      <w:pPr>
        <w:ind w:left="240" w:right="80" w:firstLine="438"/>
        <w:spacing w:after="0" w:line="262" w:lineRule="auto"/>
        <w:rPr>
          <w:sz w:val="20"/>
          <w:szCs w:val="20"/>
          <w:color w:val="auto"/>
        </w:rPr>
      </w:pPr>
      <w:r>
        <w:rPr>
          <w:rFonts w:ascii="Arial" w:cs="Arial" w:eastAsia="Arial" w:hAnsi="Arial"/>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60"/>
          </w:cols>
          <w:pgMar w:left="240" w:top="457"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significant to the fair value measurement. Accounting guidance establishes three levels of inputs that may be used to measure fair value:</w:t>
      </w:r>
    </w:p>
    <w:p>
      <w:pPr>
        <w:spacing w:after="0" w:line="129" w:lineRule="exact"/>
        <w:rPr>
          <w:sz w:val="20"/>
          <w:szCs w:val="20"/>
          <w:color w:val="auto"/>
        </w:rPr>
      </w:pPr>
    </w:p>
    <w:p>
      <w:pPr>
        <w:ind w:left="1100" w:right="180" w:hanging="435"/>
        <w:spacing w:after="0" w:line="275"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1 - Valuation techniques in which all significant inputs are unadjusted quoted prices from active markets for assets or liabilities that are identical to the assets or liabilities being measured.</w:t>
      </w:r>
    </w:p>
    <w:p>
      <w:pPr>
        <w:spacing w:after="0" w:line="76" w:lineRule="exact"/>
        <w:rPr>
          <w:rFonts w:ascii="Arial" w:cs="Arial" w:eastAsia="Arial" w:hAnsi="Arial"/>
          <w:sz w:val="18"/>
          <w:szCs w:val="18"/>
          <w:color w:val="auto"/>
        </w:rPr>
      </w:pPr>
    </w:p>
    <w:p>
      <w:pPr>
        <w:ind w:left="1100" w:hanging="435"/>
        <w:spacing w:after="0" w:line="25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2 - Valuation techniques in which significant inputs include quoted prices from active markets for assets or liabilities that are similar to the assets or liabilities being measured and/or quoted prices for assets or liabilities that are identical or similar to the assets or liabilities being measured from markets that are not active. Also, model-derived valuations in which all significant inputs and significant value drivers are observable in active markets are Level 2 valuation techniques.</w:t>
      </w:r>
    </w:p>
    <w:p>
      <w:pPr>
        <w:spacing w:after="0" w:line="93" w:lineRule="exact"/>
        <w:rPr>
          <w:rFonts w:ascii="Arial" w:cs="Arial" w:eastAsia="Arial" w:hAnsi="Arial"/>
          <w:sz w:val="18"/>
          <w:szCs w:val="18"/>
          <w:color w:val="auto"/>
        </w:rPr>
      </w:pPr>
    </w:p>
    <w:p>
      <w:pPr>
        <w:ind w:left="1100" w:right="20" w:hanging="435"/>
        <w:spacing w:after="0" w:line="262"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3 - Valuation techniques in which one or more significant inputs or significant value drivers are unobservable. Unobservable inputs are valuation technique inputs that reflect our own assumptions about the assumptions that market participants would use in pricing an asset or liability.</w:t>
      </w:r>
    </w:p>
    <w:p>
      <w:pPr>
        <w:spacing w:after="0" w:line="181"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color w:val="auto"/>
        </w:rPr>
        <w:t>When available, we use quoted market prices to determine the fair value of an asset or liability. If quoted market prices are not available, we will measure fair value using valuation techniques that use, when possible, current market-based or independently sourced market parameters, such as interest rates and currency rates.</w:t>
      </w:r>
    </w:p>
    <w:p>
      <w:pPr>
        <w:spacing w:after="0" w:line="181" w:lineRule="exact"/>
        <w:rPr>
          <w:sz w:val="20"/>
          <w:szCs w:val="20"/>
          <w:color w:val="auto"/>
        </w:rPr>
      </w:pPr>
    </w:p>
    <w:p>
      <w:pPr>
        <w:ind w:left="240" w:right="120" w:firstLine="438"/>
        <w:spacing w:after="0" w:line="272" w:lineRule="auto"/>
        <w:rPr>
          <w:sz w:val="20"/>
          <w:szCs w:val="20"/>
          <w:color w:val="auto"/>
        </w:rPr>
      </w:pPr>
      <w:r>
        <w:rPr>
          <w:rFonts w:ascii="Arial" w:cs="Arial" w:eastAsia="Arial" w:hAnsi="Arial"/>
          <w:sz w:val="17"/>
          <w:szCs w:val="17"/>
          <w:color w:val="auto"/>
        </w:rPr>
        <w:t>The carrying amount of cash and cash equivalents, cash held on behalf of clients, receivables from and payables to clients, brokers and clearing organization, amounts due from and due to related parties, other financial assets and liabilities approximates fair value because of their short-term nature. Loans and advances and accrued interest receivable are measured at amortized cost. Short-term borrowings and accrued interest payable are carried at amortized cost. The carrying amount of loans and advances, short-term borrowings, accrued interest receivable, and accrued interest payable approximates their respective fair value as the interest rates applied reflect the current quoted market yield for comparable financial instruments. Available-for-sale financial securities are measured at fair value.</w:t>
      </w:r>
    </w:p>
    <w:p>
      <w:pPr>
        <w:spacing w:after="0" w:line="175" w:lineRule="exact"/>
        <w:rPr>
          <w:sz w:val="20"/>
          <w:szCs w:val="20"/>
          <w:color w:val="auto"/>
        </w:rPr>
      </w:pPr>
    </w:p>
    <w:p>
      <w:pPr>
        <w:ind w:left="240" w:right="60" w:firstLine="438"/>
        <w:spacing w:after="0" w:line="275" w:lineRule="auto"/>
        <w:rPr>
          <w:sz w:val="20"/>
          <w:szCs w:val="20"/>
          <w:color w:val="auto"/>
        </w:rPr>
      </w:pPr>
      <w:r>
        <w:rPr>
          <w:rFonts w:ascii="Arial" w:cs="Arial" w:eastAsia="Arial" w:hAnsi="Arial"/>
          <w:sz w:val="18"/>
          <w:szCs w:val="18"/>
          <w:color w:val="auto"/>
        </w:rPr>
        <w:t>Our non-financial assets, such as property, equipment and computer software, would be measured at fair value only if they were determined to be impaired.</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5" w:lineRule="exact"/>
        <w:rPr>
          <w:sz w:val="20"/>
          <w:szCs w:val="20"/>
          <w:color w:val="auto"/>
        </w:rPr>
      </w:pPr>
    </w:p>
    <w:p>
      <w:pPr>
        <w:ind w:left="240" w:right="180" w:firstLine="438"/>
        <w:spacing w:after="0" w:line="262" w:lineRule="auto"/>
        <w:rPr>
          <w:sz w:val="20"/>
          <w:szCs w:val="20"/>
          <w:color w:val="auto"/>
        </w:rPr>
      </w:pPr>
      <w:r>
        <w:rPr>
          <w:rFonts w:ascii="Arial" w:cs="Arial" w:eastAsia="Arial" w:hAnsi="Arial"/>
          <w:sz w:val="18"/>
          <w:szCs w:val="18"/>
          <w:color w:val="auto"/>
        </w:rPr>
        <w:t>All share-based awards to employees and directors, such as stock options, are measured at the grant date based on the fair value of the awards. Share-based compensation, net of estimated forfeitures, is recognized as expenses on a straight-line method over the requisite service period, which is the vesting period. Options granted generally vest over four or five years.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use the fair value of each of our ordinary shares on the grant date to estimate the fair value of stock options.</w:t>
      </w:r>
    </w:p>
    <w:p>
      <w:pPr>
        <w:spacing w:after="0" w:line="223" w:lineRule="exact"/>
        <w:rPr>
          <w:sz w:val="20"/>
          <w:szCs w:val="20"/>
          <w:color w:val="auto"/>
        </w:rPr>
      </w:pPr>
    </w:p>
    <w:p>
      <w:pPr>
        <w:ind w:left="240" w:right="120" w:firstLine="438"/>
        <w:spacing w:after="0" w:line="305" w:lineRule="auto"/>
        <w:rPr>
          <w:sz w:val="20"/>
          <w:szCs w:val="20"/>
          <w:color w:val="auto"/>
        </w:rPr>
      </w:pPr>
      <w:r>
        <w:rPr>
          <w:rFonts w:ascii="Arial" w:cs="Arial" w:eastAsia="Arial" w:hAnsi="Arial"/>
          <w:sz w:val="17"/>
          <w:szCs w:val="17"/>
          <w:color w:val="auto"/>
        </w:rPr>
        <w:t>Forfeitures are estimated at the time of grant and revised in subsequent periods if actual forfeitures differ from those estimates. We use historical data to estimate pre-vesting option and records share-based compensation expense only for those awards that are expected to vest.</w:t>
      </w:r>
    </w:p>
    <w:p>
      <w:pPr>
        <w:spacing w:after="0" w:line="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240" w:top="457"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Share-based compensation was recognized in operating expenses for the years ended December 31, 2016 and 2017 as follows:</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69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1"/>
        </w:trPr>
        <w:tc>
          <w:tcPr>
            <w:tcW w:w="6940" w:type="dxa"/>
            <w:vAlign w:val="bottom"/>
          </w:tcPr>
          <w:p>
            <w:pPr>
              <w:spacing w:after="0"/>
              <w:rPr>
                <w:sz w:val="12"/>
                <w:szCs w:val="12"/>
                <w:color w:val="auto"/>
              </w:rPr>
            </w:pPr>
          </w:p>
        </w:tc>
        <w:tc>
          <w:tcPr>
            <w:tcW w:w="460" w:type="dxa"/>
            <w:vAlign w:val="bottom"/>
          </w:tcPr>
          <w:p>
            <w:pPr>
              <w:jc w:val="right"/>
              <w:ind w:right="16"/>
              <w:spacing w:after="0" w:line="141" w:lineRule="exact"/>
              <w:rPr>
                <w:sz w:val="20"/>
                <w:szCs w:val="20"/>
                <w:color w:val="auto"/>
              </w:rPr>
            </w:pPr>
            <w:r>
              <w:rPr>
                <w:rFonts w:ascii="Arial" w:cs="Arial" w:eastAsia="Arial" w:hAnsi="Arial"/>
                <w:sz w:val="14"/>
                <w:szCs w:val="14"/>
                <w:b w:val="1"/>
                <w:bCs w:val="1"/>
                <w:color w:val="auto"/>
              </w:rPr>
              <w:t>2016</w:t>
            </w:r>
          </w:p>
        </w:tc>
        <w:tc>
          <w:tcPr>
            <w:tcW w:w="1280" w:type="dxa"/>
            <w:vAlign w:val="bottom"/>
            <w:gridSpan w:val="3"/>
          </w:tcPr>
          <w:p>
            <w:pPr>
              <w:jc w:val="right"/>
              <w:ind w:right="60"/>
              <w:spacing w:after="0" w:line="141"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1"/>
        </w:trPr>
        <w:tc>
          <w:tcPr>
            <w:tcW w:w="69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HK$</w:t>
            </w:r>
          </w:p>
        </w:tc>
        <w:tc>
          <w:tcPr>
            <w:tcW w:w="42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99"/>
              </w:rPr>
              <w:t>HK$</w:t>
            </w:r>
          </w:p>
        </w:tc>
        <w:tc>
          <w:tcPr>
            <w:tcW w:w="460" w:type="dxa"/>
            <w:vAlign w:val="bottom"/>
            <w:tcBorders>
              <w:top w:val="single" w:sz="8" w:color="auto"/>
              <w:bottom w:val="single" w:sz="8" w:color="auto"/>
            </w:tcBorders>
          </w:tcPr>
          <w:p>
            <w:pPr>
              <w:jc w:val="right"/>
              <w:ind w:right="14"/>
              <w:spacing w:after="0" w:line="141"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141"/>
        </w:trPr>
        <w:tc>
          <w:tcPr>
            <w:tcW w:w="6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5"/>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5"/>
        </w:trPr>
        <w:tc>
          <w:tcPr>
            <w:tcW w:w="6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8,335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8,854</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1,133</w:t>
            </w:r>
          </w:p>
        </w:tc>
        <w:tc>
          <w:tcPr>
            <w:tcW w:w="60" w:type="dxa"/>
            <w:vAlign w:val="bottom"/>
          </w:tcPr>
          <w:p>
            <w:pPr>
              <w:spacing w:after="0"/>
              <w:rPr>
                <w:sz w:val="18"/>
                <w:szCs w:val="18"/>
                <w:color w:val="auto"/>
              </w:rPr>
            </w:pPr>
          </w:p>
        </w:tc>
      </w:tr>
      <w:tr>
        <w:trPr>
          <w:trHeight w:val="215"/>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share-based compensation expenses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9,155</w:t>
            </w: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9,769</w:t>
            </w:r>
          </w:p>
        </w:tc>
        <w:tc>
          <w:tcPr>
            <w:tcW w:w="4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1,250</w:t>
            </w:r>
          </w:p>
        </w:tc>
        <w:tc>
          <w:tcPr>
            <w:tcW w:w="6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1"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Share Options</w:t>
      </w:r>
    </w:p>
    <w:p>
      <w:pPr>
        <w:spacing w:after="0" w:line="115"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In October 2014, our board of directors approved the establishment of a share incentive plan, or the 2014 Share Incentive Plan, with the purpose to provide an incentive for employees contributing to the success of our company. The 2014 Share Incentive Plan has a term of ten years and will be effective until October 30, 2024. The maximum number of shares that may be issued pursuant to all awards (including incentive share options) under 2014 Share Incentive Plan is 135,032,132 shares. Option awards are granted with an exercise price determined by our board of directors. Those option awards generally vest over a period of four or five years and expire in ten years.</w:t>
      </w:r>
    </w:p>
    <w:p>
      <w:pPr>
        <w:spacing w:after="0" w:line="189" w:lineRule="exact"/>
        <w:rPr>
          <w:sz w:val="20"/>
          <w:szCs w:val="20"/>
          <w:color w:val="auto"/>
        </w:rPr>
      </w:pPr>
    </w:p>
    <w:p>
      <w:pPr>
        <w:ind w:left="240" w:right="420" w:firstLine="438"/>
        <w:spacing w:after="0" w:line="275" w:lineRule="auto"/>
        <w:rPr>
          <w:sz w:val="20"/>
          <w:szCs w:val="20"/>
          <w:color w:val="auto"/>
        </w:rPr>
      </w:pPr>
      <w:r>
        <w:rPr>
          <w:rFonts w:ascii="Arial" w:cs="Arial" w:eastAsia="Arial" w:hAnsi="Arial"/>
          <w:sz w:val="18"/>
          <w:szCs w:val="18"/>
          <w:color w:val="auto"/>
        </w:rPr>
        <w:t>For the years ended December 31, 2016 and 2017, we granted 7,783,301 and 217,455 share options to employees pursuant to the 2014 Share Incentive Plan.</w:t>
      </w:r>
    </w:p>
    <w:p>
      <w:pPr>
        <w:spacing w:after="0" w:line="170" w:lineRule="exact"/>
        <w:rPr>
          <w:sz w:val="20"/>
          <w:szCs w:val="20"/>
          <w:color w:val="auto"/>
        </w:rPr>
      </w:pPr>
    </w:p>
    <w:p>
      <w:pPr>
        <w:ind w:left="240" w:right="200" w:firstLine="438"/>
        <w:spacing w:after="0" w:line="275" w:lineRule="auto"/>
        <w:rPr>
          <w:sz w:val="20"/>
          <w:szCs w:val="20"/>
          <w:color w:val="auto"/>
        </w:rPr>
      </w:pPr>
      <w:r>
        <w:rPr>
          <w:rFonts w:ascii="Arial" w:cs="Arial" w:eastAsia="Arial" w:hAnsi="Arial"/>
          <w:sz w:val="18"/>
          <w:szCs w:val="18"/>
          <w:color w:val="auto"/>
        </w:rPr>
        <w:t>A summary of the share option activity under our 2014 Share Incentive Plan for the years ended December 31, 2016 and 2017 is included in the table below.</w:t>
      </w:r>
    </w:p>
    <w:p>
      <w:pPr>
        <w:spacing w:after="0" w:line="175"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0"/>
              </w:rPr>
              <w:t>Options granted</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1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70"/>
        </w:trPr>
        <w:tc>
          <w:tcPr>
            <w:tcW w:w="5320" w:type="dxa"/>
            <w:vAlign w:val="bottom"/>
          </w:tcPr>
          <w:p>
            <w:pPr>
              <w:spacing w:after="0"/>
              <w:rPr>
                <w:sz w:val="14"/>
                <w:szCs w:val="14"/>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7"/>
              </w:rPr>
              <w:t>share Number</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08"/>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2016</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103,624,019</w:t>
            </w:r>
          </w:p>
        </w:tc>
        <w:tc>
          <w:tcPr>
            <w:tcW w:w="8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7,783,301</w:t>
            </w:r>
          </w:p>
        </w:tc>
        <w:tc>
          <w:tcPr>
            <w:tcW w:w="8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0.1648</w:t>
            </w: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2016</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7"/>
              </w:rPr>
              <w:t>111,407,320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0.0168</w:t>
            </w: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217,455</w:t>
            </w:r>
          </w:p>
        </w:tc>
        <w:tc>
          <w:tcPr>
            <w:tcW w:w="8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0.9188</w:t>
            </w: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2017</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7"/>
              </w:rPr>
              <w:t>111,624,775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0.0186</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tables summarize information regarding the share options granted as of December 31, 2016 and December 31, 2017:</w:t>
      </w:r>
    </w:p>
    <w:p>
      <w:pPr>
        <w:spacing w:after="0" w:line="241"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4"/>
          </w:tcPr>
          <w:p>
            <w:pPr>
              <w:jc w:val="right"/>
              <w:ind w:right="1680"/>
              <w:spacing w:after="0"/>
              <w:rPr>
                <w:sz w:val="20"/>
                <w:szCs w:val="20"/>
                <w:color w:val="auto"/>
              </w:rPr>
            </w:pPr>
            <w:r>
              <w:rPr>
                <w:rFonts w:ascii="Arial" w:cs="Arial" w:eastAsia="Arial" w:hAnsi="Arial"/>
                <w:sz w:val="14"/>
                <w:szCs w:val="14"/>
                <w:b w:val="1"/>
                <w:bCs w:val="1"/>
                <w:color w:val="auto"/>
              </w:rPr>
              <w:t>As of December 31, 2016</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0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89"/>
              </w:rPr>
              <w:t>Weighted-average</w:t>
            </w:r>
          </w:p>
        </w:tc>
        <w:tc>
          <w:tcPr>
            <w:tcW w:w="192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Options</w:t>
            </w:r>
          </w:p>
        </w:tc>
        <w:tc>
          <w:tcPr>
            <w:tcW w:w="68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92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w w:val="88"/>
              </w:rPr>
              <w:t>remaining exercise</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90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7"/>
              </w:rPr>
              <w:t>exercise price</w:t>
            </w:r>
          </w:p>
        </w:tc>
        <w:tc>
          <w:tcPr>
            <w:tcW w:w="192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94"/>
              </w:rPr>
              <w:t>contractual life</w:t>
            </w:r>
          </w:p>
        </w:tc>
        <w:tc>
          <w:tcPr>
            <w:tcW w:w="72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option</w:t>
            </w:r>
          </w:p>
        </w:tc>
        <w:tc>
          <w:tcPr>
            <w:tcW w:w="7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7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0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5"/>
              </w:rPr>
              <w:t>US$</w:t>
            </w: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HK$ (in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95"/>
        </w:trPr>
        <w:tc>
          <w:tcPr>
            <w:tcW w:w="38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Options</w:t>
            </w: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Outstanding</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111,407,320</w:t>
            </w:r>
          </w:p>
        </w:tc>
        <w:tc>
          <w:tcPr>
            <w:tcW w:w="2580" w:type="dxa"/>
            <w:vAlign w:val="bottom"/>
            <w:gridSpan w:val="3"/>
          </w:tcPr>
          <w:p>
            <w:pPr>
              <w:jc w:val="right"/>
              <w:ind w:right="780"/>
              <w:spacing w:after="0"/>
              <w:rPr>
                <w:sz w:val="20"/>
                <w:szCs w:val="20"/>
                <w:color w:val="auto"/>
              </w:rPr>
            </w:pPr>
            <w:r>
              <w:rPr>
                <w:rFonts w:ascii="Arial" w:cs="Arial" w:eastAsia="Arial" w:hAnsi="Arial"/>
                <w:sz w:val="18"/>
                <w:szCs w:val="18"/>
                <w:color w:val="auto"/>
              </w:rPr>
              <w:t>0.0168</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7.84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Exercisable</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44,540,241</w:t>
            </w:r>
          </w:p>
        </w:tc>
        <w:tc>
          <w:tcPr>
            <w:tcW w:w="25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0.0035</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7.84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Expected to vest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66,867,079</w:t>
            </w:r>
          </w:p>
        </w:tc>
        <w:tc>
          <w:tcPr>
            <w:tcW w:w="2580" w:type="dxa"/>
            <w:vAlign w:val="bottom"/>
            <w:gridSpan w:val="3"/>
          </w:tcPr>
          <w:p>
            <w:pPr>
              <w:jc w:val="right"/>
              <w:ind w:right="780"/>
              <w:spacing w:after="0"/>
              <w:rPr>
                <w:sz w:val="20"/>
                <w:szCs w:val="20"/>
                <w:color w:val="auto"/>
              </w:rPr>
            </w:pPr>
            <w:r>
              <w:rPr>
                <w:rFonts w:ascii="Arial" w:cs="Arial" w:eastAsia="Arial" w:hAnsi="Arial"/>
                <w:sz w:val="18"/>
                <w:szCs w:val="18"/>
                <w:color w:val="auto"/>
              </w:rPr>
              <w:t>0.0257</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7.84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348"/>
        </w:trPr>
        <w:tc>
          <w:tcPr>
            <w:tcW w:w="3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11"/>
              <w:spacing w:after="0"/>
              <w:rPr>
                <w:sz w:val="20"/>
                <w:szCs w:val="20"/>
                <w:color w:val="auto"/>
              </w:rPr>
            </w:pPr>
            <w:r>
              <w:rPr>
                <w:rFonts w:ascii="Arial" w:cs="Arial" w:eastAsia="Arial" w:hAnsi="Arial"/>
                <w:sz w:val="18"/>
                <w:szCs w:val="18"/>
                <w:color w:val="auto"/>
              </w:rPr>
              <w:t>93</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7"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4"/>
          </w:tcPr>
          <w:p>
            <w:pPr>
              <w:jc w:val="right"/>
              <w:ind w:right="1680"/>
              <w:spacing w:after="0"/>
              <w:rPr>
                <w:sz w:val="20"/>
                <w:szCs w:val="20"/>
                <w:color w:val="auto"/>
              </w:rPr>
            </w:pPr>
            <w:r>
              <w:rPr>
                <w:rFonts w:ascii="Arial" w:cs="Arial" w:eastAsia="Arial" w:hAnsi="Arial"/>
                <w:sz w:val="14"/>
                <w:szCs w:val="14"/>
                <w:b w:val="1"/>
                <w:bCs w:val="1"/>
                <w:color w:val="auto"/>
              </w:rPr>
              <w:t>As of December 31, 2017</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89"/>
              </w:rPr>
              <w:t>Weighted-average</w:t>
            </w:r>
          </w:p>
        </w:tc>
        <w:tc>
          <w:tcPr>
            <w:tcW w:w="192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7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Options</w:t>
            </w:r>
          </w:p>
        </w:tc>
        <w:tc>
          <w:tcPr>
            <w:tcW w:w="1900" w:type="dxa"/>
            <w:vAlign w:val="bottom"/>
            <w:gridSpan w:val="2"/>
            <w:vMerge w:val="continue"/>
          </w:tcPr>
          <w:p>
            <w:pPr>
              <w:spacing w:after="0"/>
              <w:rPr>
                <w:sz w:val="12"/>
                <w:szCs w:val="12"/>
                <w:color w:val="auto"/>
              </w:rPr>
            </w:pPr>
          </w:p>
        </w:tc>
        <w:tc>
          <w:tcPr>
            <w:tcW w:w="1920" w:type="dxa"/>
            <w:vAlign w:val="bottom"/>
            <w:gridSpan w:val="2"/>
          </w:tcPr>
          <w:p>
            <w:pPr>
              <w:jc w:val="right"/>
              <w:ind w:right="780"/>
              <w:spacing w:after="0" w:line="148" w:lineRule="exact"/>
              <w:rPr>
                <w:sz w:val="20"/>
                <w:szCs w:val="20"/>
                <w:color w:val="auto"/>
              </w:rPr>
            </w:pPr>
            <w:r>
              <w:rPr>
                <w:rFonts w:ascii="Arial" w:cs="Arial" w:eastAsia="Arial" w:hAnsi="Arial"/>
                <w:sz w:val="14"/>
                <w:szCs w:val="14"/>
                <w:b w:val="1"/>
                <w:bCs w:val="1"/>
                <w:color w:val="auto"/>
                <w:w w:val="88"/>
              </w:rPr>
              <w:t>remaining exercise</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0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7"/>
              </w:rPr>
              <w:t>exercise price</w:t>
            </w:r>
          </w:p>
        </w:tc>
        <w:tc>
          <w:tcPr>
            <w:tcW w:w="192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94"/>
              </w:rPr>
              <w:t>contractual life</w:t>
            </w:r>
          </w:p>
        </w:tc>
        <w:tc>
          <w:tcPr>
            <w:tcW w:w="72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option</w:t>
            </w:r>
          </w:p>
        </w:tc>
        <w:tc>
          <w:tcPr>
            <w:tcW w:w="7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7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5"/>
              </w:rPr>
              <w:t>US$</w:t>
            </w: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HK$ (in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95"/>
        </w:trPr>
        <w:tc>
          <w:tcPr>
            <w:tcW w:w="38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Options</w:t>
            </w:r>
          </w:p>
        </w:tc>
        <w:tc>
          <w:tcPr>
            <w:tcW w:w="9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Outstanding</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w w:val="91"/>
              </w:rPr>
              <w:t>111,624,775</w:t>
            </w:r>
          </w:p>
        </w:tc>
        <w:tc>
          <w:tcPr>
            <w:tcW w:w="1900" w:type="dxa"/>
            <w:vAlign w:val="bottom"/>
            <w:gridSpan w:val="2"/>
          </w:tcPr>
          <w:p>
            <w:pPr>
              <w:jc w:val="right"/>
              <w:ind w:right="780"/>
              <w:spacing w:after="0"/>
              <w:rPr>
                <w:sz w:val="20"/>
                <w:szCs w:val="20"/>
                <w:color w:val="auto"/>
              </w:rPr>
            </w:pPr>
            <w:r>
              <w:rPr>
                <w:rFonts w:ascii="Arial" w:cs="Arial" w:eastAsia="Arial" w:hAnsi="Arial"/>
                <w:sz w:val="18"/>
                <w:szCs w:val="18"/>
                <w:color w:val="auto"/>
              </w:rPr>
              <w:t>0.0186</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6.84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Exercisable</w:t>
            </w: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70,630,894</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0.0073</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6.84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Expected to vest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40,993,881</w:t>
            </w:r>
          </w:p>
        </w:tc>
        <w:tc>
          <w:tcPr>
            <w:tcW w:w="1900" w:type="dxa"/>
            <w:vAlign w:val="bottom"/>
            <w:gridSpan w:val="2"/>
          </w:tcPr>
          <w:p>
            <w:pPr>
              <w:jc w:val="right"/>
              <w:ind w:right="780"/>
              <w:spacing w:after="0"/>
              <w:rPr>
                <w:sz w:val="20"/>
                <w:szCs w:val="20"/>
                <w:color w:val="auto"/>
              </w:rPr>
            </w:pPr>
            <w:r>
              <w:rPr>
                <w:rFonts w:ascii="Arial" w:cs="Arial" w:eastAsia="Arial" w:hAnsi="Arial"/>
                <w:sz w:val="18"/>
                <w:szCs w:val="18"/>
                <w:color w:val="auto"/>
              </w:rPr>
              <w:t>0.0380</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6.84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40" w:right="180" w:firstLine="438"/>
        <w:spacing w:after="0" w:line="275" w:lineRule="auto"/>
        <w:rPr>
          <w:sz w:val="20"/>
          <w:szCs w:val="20"/>
          <w:color w:val="auto"/>
        </w:rPr>
      </w:pPr>
      <w:r>
        <w:rPr>
          <w:rFonts w:ascii="Arial" w:cs="Arial" w:eastAsia="Arial" w:hAnsi="Arial"/>
          <w:sz w:val="18"/>
          <w:szCs w:val="18"/>
          <w:color w:val="auto"/>
        </w:rPr>
        <w:t>The weighted average grant date fair value of options granted for the years ended December 31, 2016 and 2017 was US$0.1122 and US$0.0998 per option post share split, respectively.</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 options were exercised for the years ended December 31, 2016 and 2017.</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Preferred Shares and Ordinary Shares</w:t>
      </w:r>
    </w:p>
    <w:p>
      <w:pPr>
        <w:spacing w:after="0" w:line="115" w:lineRule="exact"/>
        <w:rPr>
          <w:sz w:val="20"/>
          <w:szCs w:val="20"/>
          <w:color w:val="auto"/>
        </w:rPr>
      </w:pPr>
    </w:p>
    <w:p>
      <w:pPr>
        <w:ind w:left="240" w:right="120" w:firstLine="438"/>
        <w:spacing w:after="0" w:line="253" w:lineRule="auto"/>
        <w:rPr>
          <w:sz w:val="20"/>
          <w:szCs w:val="20"/>
          <w:color w:val="auto"/>
        </w:rPr>
      </w:pPr>
      <w:r>
        <w:rPr>
          <w:rFonts w:ascii="Arial" w:cs="Arial" w:eastAsia="Arial" w:hAnsi="Arial"/>
          <w:sz w:val="18"/>
          <w:szCs w:val="18"/>
          <w:color w:val="auto"/>
        </w:rPr>
        <w:t>Our shares, which do not have quoted market prices, were valued based on the income approach. The income approach involves applying the discounted cash flow analysis based on projected cash flow using our best estimate as of the valuation dates. Estimating future cash flow requires us to analyze projected revenue growth, gross margins, effective tax rates, capital expenditures and working capital requirements. In determining an appropriate discount rate, we considered the cost of equity and the rate of return expected by venture capitalists. We also applied a discount for lack of marketability given that the shares underlying the award were not publicly traded at the time of grant. Determination of estimated fair value of us requires complex and subjective judgments due to its limited financial and operating history, unique business risks and limited public information on companies in China similar to us.</w:t>
      </w:r>
    </w:p>
    <w:p>
      <w:pPr>
        <w:spacing w:after="0" w:line="191" w:lineRule="exact"/>
        <w:rPr>
          <w:sz w:val="20"/>
          <w:szCs w:val="20"/>
          <w:color w:val="auto"/>
        </w:rPr>
      </w:pPr>
    </w:p>
    <w:p>
      <w:pPr>
        <w:ind w:left="240" w:right="80" w:firstLine="438"/>
        <w:spacing w:after="0" w:line="269" w:lineRule="auto"/>
        <w:rPr>
          <w:sz w:val="20"/>
          <w:szCs w:val="20"/>
          <w:color w:val="auto"/>
        </w:rPr>
      </w:pPr>
      <w:r>
        <w:rPr>
          <w:rFonts w:ascii="Arial" w:cs="Arial" w:eastAsia="Arial" w:hAnsi="Arial"/>
          <w:sz w:val="17"/>
          <w:szCs w:val="17"/>
          <w:color w:val="auto"/>
        </w:rPr>
        <w:t>Option-pricing method was used to allocate enterprise value to preferred shares and ordinary shares. The method treats preferred shares and ordinary shares as call options on the enterprise’s value, with exercise prices based on the liquidation preference of the preferred shares. The strike prices of the “options” based on the characteristics of our capital structure, including number of shares of each class of ordinary shares, seniority levels, liquidation preferences, and conversion values for the preferred shares. The option-pricing method also involves making estimates of the anticipated timing of a potential liquidity event, such as a sale of our company or an initial public offering, and estimates of the volatility of our equity securities. The anticipated timing is based on the plans of our board of directors and management. Estimating the volatility of the share price of a privately held company is complex because there is no readily available market for the shares. Volatility is estimated based on annualized standard deviation of daily stock price return of comparable companies.</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19" w:lineRule="exact"/>
        <w:rPr>
          <w:sz w:val="20"/>
          <w:szCs w:val="20"/>
          <w:color w:val="auto"/>
        </w:rPr>
      </w:pPr>
    </w:p>
    <w:p>
      <w:pPr>
        <w:ind w:left="240" w:firstLine="438"/>
        <w:spacing w:after="0" w:line="272" w:lineRule="auto"/>
        <w:rPr>
          <w:sz w:val="20"/>
          <w:szCs w:val="20"/>
          <w:color w:val="auto"/>
        </w:rPr>
      </w:pPr>
      <w:r>
        <w:rPr>
          <w:rFonts w:ascii="Arial" w:cs="Arial" w:eastAsia="Arial" w:hAnsi="Arial"/>
          <w:sz w:val="17"/>
          <w:szCs w:val="17"/>
          <w:color w:val="auto"/>
        </w:rPr>
        <w:t>Prior to this offering, we have been a private company with limited accounting personnel and other resources with which we address our internal control over financial reporting. In connection with the audits of our consolidated financial statements as of and for the years ended December 31, 2016 and 2017, we and our independent registered public accounting firm identified one material weakness in our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5" w:lineRule="exact"/>
        <w:rPr>
          <w:sz w:val="20"/>
          <w:szCs w:val="20"/>
          <w:color w:val="auto"/>
        </w:rPr>
      </w:pPr>
    </w:p>
    <w:p>
      <w:pPr>
        <w:ind w:left="240" w:right="60" w:firstLine="438"/>
        <w:spacing w:after="0" w:line="275" w:lineRule="auto"/>
        <w:rPr>
          <w:sz w:val="20"/>
          <w:szCs w:val="20"/>
          <w:color w:val="auto"/>
        </w:rPr>
      </w:pPr>
      <w:r>
        <w:rPr>
          <w:rFonts w:ascii="Arial" w:cs="Arial" w:eastAsia="Arial" w:hAnsi="Arial"/>
          <w:sz w:val="18"/>
          <w:szCs w:val="18"/>
          <w:color w:val="auto"/>
        </w:rPr>
        <w:t>The material weakness identified related to our lack of financial reporting and accounting personnel with understanding of U.S. GAAP to address complex U.S. GAAP technical accounting issues, related disclosures in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7"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60"/>
        <w:spacing w:after="0" w:line="275" w:lineRule="auto"/>
        <w:rPr>
          <w:sz w:val="20"/>
          <w:szCs w:val="20"/>
          <w:color w:val="auto"/>
        </w:rPr>
      </w:pPr>
      <w:r>
        <w:rPr>
          <w:rFonts w:ascii="Arial" w:cs="Arial" w:eastAsia="Arial" w:hAnsi="Arial"/>
          <w:sz w:val="18"/>
          <w:szCs w:val="18"/>
          <w:color w:val="auto"/>
        </w:rPr>
        <w:t>accordance with U.S. GAAP and financial reporting requirements set forth by the SEC. The material weakness, if not remediated timely, may lead to significant misstatements in our consolidated financial statements in the future.</w:t>
      </w:r>
    </w:p>
    <w:p>
      <w:pPr>
        <w:spacing w:after="0" w:line="170" w:lineRule="exact"/>
        <w:rPr>
          <w:sz w:val="20"/>
          <w:szCs w:val="20"/>
          <w:color w:val="auto"/>
        </w:rPr>
      </w:pPr>
    </w:p>
    <w:p>
      <w:pPr>
        <w:ind w:left="240" w:right="40" w:firstLine="438"/>
        <w:spacing w:after="0" w:line="285" w:lineRule="auto"/>
        <w:rPr>
          <w:sz w:val="20"/>
          <w:szCs w:val="20"/>
          <w:color w:val="auto"/>
        </w:rPr>
      </w:pPr>
      <w:r>
        <w:rPr>
          <w:rFonts w:ascii="Arial" w:cs="Arial" w:eastAsia="Arial" w:hAnsi="Arial"/>
          <w:sz w:val="16"/>
          <w:szCs w:val="16"/>
          <w:color w:val="auto"/>
        </w:rPr>
        <w:t>We have implemented and plan to implement a number of measures to address the material weakness that has been identified in connection with the audits of our consolidated financial statements as of and for the years ended December 31, 2016 and 2017. We have hired additional qualified financial and accounting staff with working experience of U.S. GAAP and SEC reporting requirements. We have also established clear roles and responsibilities for accounting and financial reporting staff to address complex accounting and financial reporting issues. Furthermore, we will continue to further expedite and streamline our reporting process and develop our compliance process, including establishing a comprehensive policy and procedure manual, to allow early detection, prevention and resolution of potential compliance issues, and establishing an ongoing program to provide sufficient and appropriate training for financial reporting and accounting personnel, especially training related to U.S. GAAP and SEC reporting requirements. We intend to conduct regular and continuing U.S. GAAP accounting and financial reporting programs and send our financial staff to attend external U.S. GAAP training courses. We also intend to hire additional resources to strengthen the financial reporting function and set up a financial and system control framework. However, we cannot assure you that all these measures will be sufficient to remediate our material weakness in time, or at all. See “Risk Factors—Risks Related to Our Business and Industry—We have identified a material weakness in our internal controls as of December 31, 2017, and if we fail to implement and maintain an effective system of internal controls to remediate our material weakness over financial reporting, we may be unable to accurately report our results of operations, meet our reporting obligations or prevent fraud.”</w:t>
      </w:r>
    </w:p>
    <w:p>
      <w:pPr>
        <w:spacing w:after="0" w:line="167" w:lineRule="exact"/>
        <w:rPr>
          <w:sz w:val="20"/>
          <w:szCs w:val="20"/>
          <w:color w:val="auto"/>
        </w:rPr>
      </w:pPr>
    </w:p>
    <w:p>
      <w:pPr>
        <w:ind w:left="240" w:right="200" w:firstLine="438"/>
        <w:spacing w:after="0" w:line="277" w:lineRule="auto"/>
        <w:rPr>
          <w:sz w:val="20"/>
          <w:szCs w:val="20"/>
          <w:color w:val="auto"/>
        </w:rPr>
      </w:pPr>
      <w:r>
        <w:rPr>
          <w:rFonts w:ascii="Arial" w:cs="Arial" w:eastAsia="Arial" w:hAnsi="Arial"/>
          <w:sz w:val="17"/>
          <w:szCs w:val="17"/>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Holding Company Structure</w:t>
      </w:r>
    </w:p>
    <w:p>
      <w:pPr>
        <w:spacing w:after="0" w:line="119" w:lineRule="exact"/>
        <w:rPr>
          <w:sz w:val="20"/>
          <w:szCs w:val="20"/>
          <w:color w:val="auto"/>
        </w:rPr>
      </w:pPr>
    </w:p>
    <w:p>
      <w:pPr>
        <w:ind w:left="240" w:firstLine="438"/>
        <w:spacing w:after="0" w:line="285" w:lineRule="auto"/>
        <w:rPr>
          <w:sz w:val="20"/>
          <w:szCs w:val="20"/>
          <w:color w:val="auto"/>
        </w:rPr>
      </w:pPr>
      <w:r>
        <w:rPr>
          <w:rFonts w:ascii="Arial" w:cs="Arial" w:eastAsia="Arial" w:hAnsi="Arial"/>
          <w:sz w:val="16"/>
          <w:szCs w:val="16"/>
          <w:color w:val="auto"/>
        </w:rPr>
        <w:t>Futu Holdings Limited is a holding company with no material operations of its own. We conduct our operations primarily through our subsidiaries in Hong Kong and the PRC, our VIE and its subsidiary in China. As a result, Futu Holdings Limited’s ability to pay dividends depends upon dividends paid by our subsidiaries in Hong Kong and the PRC. If our existing Hong Kong and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its retained earnings, if any, as determined in accordance with PRC accounting standards and regulations. Under PRC law, each of our subsidiaries and our VIE in China is required to set aside at least 10% of its after-tax profits each year, if any, to fund certain statutory reserve funds until such reserve funds reach 50% of their registered capital. In addition, our wholly foreign-owned subsidiaries in China may allocate a portion of their after-tax profits based on PRC accounting standards to enterprise expansion funds and staff bonus and welfare funds at their discretion, and our VIE may allocate a portion of its after-tax profits based on PRC accounting standards to a surplus fund at their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Inflation</w:t>
      </w:r>
    </w:p>
    <w:p>
      <w:pPr>
        <w:spacing w:after="0" w:line="119" w:lineRule="exact"/>
        <w:rPr>
          <w:sz w:val="20"/>
          <w:szCs w:val="20"/>
          <w:color w:val="auto"/>
        </w:rPr>
      </w:pPr>
    </w:p>
    <w:p>
      <w:pPr>
        <w:ind w:left="240" w:right="100" w:firstLine="438"/>
        <w:spacing w:after="0" w:line="275" w:lineRule="auto"/>
        <w:rPr>
          <w:sz w:val="20"/>
          <w:szCs w:val="20"/>
          <w:color w:val="auto"/>
        </w:rPr>
      </w:pPr>
      <w:r>
        <w:rPr>
          <w:rFonts w:ascii="Arial" w:cs="Arial" w:eastAsia="Arial" w:hAnsi="Arial"/>
          <w:sz w:val="18"/>
          <w:szCs w:val="18"/>
          <w:color w:val="auto"/>
        </w:rPr>
        <w:t>To date, inflation in China and Hong Kong has not materially affected our results of operations. According to the National Bureau of Statistics of China, the year-over-year percent changes in the consumer price index for</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457"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0"/>
        <w:spacing w:after="0" w:line="284" w:lineRule="auto"/>
        <w:rPr>
          <w:sz w:val="20"/>
          <w:szCs w:val="20"/>
          <w:color w:val="auto"/>
        </w:rPr>
      </w:pPr>
      <w:r>
        <w:rPr>
          <w:rFonts w:ascii="Arial" w:cs="Arial" w:eastAsia="Arial" w:hAnsi="Arial"/>
          <w:sz w:val="17"/>
          <w:szCs w:val="17"/>
          <w:color w:val="auto"/>
        </w:rPr>
        <w:t>December 2016 and 2017 were increases of 2.1% and 1.6%, and according to the Census and Statistics Department of Hong Kong, the year-over-year percent changes in the consumer price index for December 2016 and 2017 were increases of 2.4% and 1.5%. Although we have not been materially affected by inflation in the past, we may be affected if China or Hong Kong experiences higher rates of inflation in the future.</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risk</w:t>
      </w:r>
    </w:p>
    <w:p>
      <w:pPr>
        <w:spacing w:after="0" w:line="115" w:lineRule="exact"/>
        <w:rPr>
          <w:sz w:val="20"/>
          <w:szCs w:val="20"/>
          <w:color w:val="auto"/>
        </w:rPr>
      </w:pPr>
    </w:p>
    <w:p>
      <w:pPr>
        <w:ind w:left="240" w:right="120" w:firstLine="438"/>
        <w:spacing w:after="0" w:line="255" w:lineRule="auto"/>
        <w:rPr>
          <w:sz w:val="20"/>
          <w:szCs w:val="20"/>
          <w:color w:val="auto"/>
        </w:rPr>
      </w:pPr>
      <w:r>
        <w:rPr>
          <w:rFonts w:ascii="Arial" w:cs="Arial" w:eastAsia="Arial" w:hAnsi="Arial"/>
          <w:sz w:val="18"/>
          <w:szCs w:val="18"/>
          <w:color w:val="auto"/>
        </w:rPr>
        <w:t>Most of our revenues are denominated in Hong Kong dollar and a significant portion of our expenses are denominated in Renminbi. 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our ADSs will be affected by the exchange rate between U.S. dollar and Hong Kong dollar because the value of our business is effectively denominated in Hong Kong dollars, while our ADSs will be traded in U.S. dollars.</w:t>
      </w:r>
    </w:p>
    <w:p>
      <w:pPr>
        <w:spacing w:after="0" w:line="189" w:lineRule="exact"/>
        <w:rPr>
          <w:sz w:val="20"/>
          <w:szCs w:val="20"/>
          <w:color w:val="auto"/>
        </w:rPr>
      </w:pPr>
    </w:p>
    <w:p>
      <w:pPr>
        <w:ind w:left="240" w:right="140" w:firstLine="438"/>
        <w:spacing w:after="0" w:line="257" w:lineRule="auto"/>
        <w:rPr>
          <w:sz w:val="20"/>
          <w:szCs w:val="20"/>
          <w:color w:val="auto"/>
        </w:rPr>
      </w:pPr>
      <w:r>
        <w:rPr>
          <w:rFonts w:ascii="Arial" w:cs="Arial" w:eastAsia="Arial" w:hAnsi="Arial"/>
          <w:sz w:val="18"/>
          <w:szCs w:val="18"/>
          <w:color w:val="auto"/>
        </w:rPr>
        <w:t>In addition, foreign exchange risk also arises from the possibility that fluctuations in foreign exchange rates can impact the value of financial instruments. As an online broker active in Hong Kong and the U.S. market, we are exposed to minimal foreign exchange risk since Hong Kong dollars are pegged against U.S dollars. The impact of foreign exchange fluctuations in our earnings is included in others, net in the consolidated statements of comprehensive loss.</w:t>
      </w:r>
    </w:p>
    <w:p>
      <w:pPr>
        <w:spacing w:after="0" w:line="188" w:lineRule="exact"/>
        <w:rPr>
          <w:sz w:val="20"/>
          <w:szCs w:val="20"/>
          <w:color w:val="auto"/>
        </w:rPr>
      </w:pPr>
    </w:p>
    <w:p>
      <w:pPr>
        <w:ind w:left="240" w:right="40" w:firstLine="438"/>
        <w:spacing w:after="0" w:line="255" w:lineRule="auto"/>
        <w:rPr>
          <w:sz w:val="20"/>
          <w:szCs w:val="20"/>
          <w:color w:val="auto"/>
        </w:rPr>
      </w:pPr>
      <w:r>
        <w:rPr>
          <w:rFonts w:ascii="Arial" w:cs="Arial" w:eastAsia="Arial" w:hAnsi="Arial"/>
          <w:sz w:val="18"/>
          <w:szCs w:val="18"/>
          <w:color w:val="auto"/>
        </w:rPr>
        <w:t>To the extent that we need to convert U.S. dollars into Hong Kong dollars or Renminbi for our operations, appreciation of Hong Kong dollar or Renminbi against the U.S. dollar would reduce the amount in Hong Kong dollars or Renminbi we receive from the conversion. Conversely, if we decide to convert Hong Kong dollars or Renminbi into U.S. dollars for the purpose of making payments for dividends on our ordinary shares or ADSs, servicing our outstanding debt, or for other business purposes, appreciation of the U.S. dollar against the Hong Kong dollars or Renminbi would reduce the U.S. dollar amounts available to us.</w:t>
      </w:r>
    </w:p>
    <w:p>
      <w:pPr>
        <w:spacing w:after="0" w:line="189" w:lineRule="exact"/>
        <w:rPr>
          <w:sz w:val="20"/>
          <w:szCs w:val="20"/>
          <w:color w:val="auto"/>
        </w:rPr>
      </w:pPr>
    </w:p>
    <w:p>
      <w:pPr>
        <w:ind w:left="240" w:right="20" w:firstLine="438"/>
        <w:spacing w:after="0" w:line="257" w:lineRule="auto"/>
        <w:rPr>
          <w:sz w:val="20"/>
          <w:szCs w:val="20"/>
          <w:color w:val="auto"/>
        </w:rPr>
      </w:pPr>
      <w:r>
        <w:rPr>
          <w:rFonts w:ascii="Arial" w:cs="Arial" w:eastAsia="Arial" w:hAnsi="Arial"/>
          <w:sz w:val="18"/>
          <w:szCs w:val="18"/>
          <w:color w:val="auto"/>
        </w:rPr>
        <w:t>In addition, as of December 31, 2017, we had RMB-denominated cash of HK$22.9 million (US$2.9 million). We estimate that a 10% depreciation of Renminbi against the U.S. dollar based on the foreign exchange rate on December 29, 2017 would result in a decrease of US$0.3 million in our total assets in 2017, and a 10% appreciation of Renminbi against the U.S. dollar based on the foreign exchange rate on December 29, 2017 would result in an increase of US$0.3 million in our total assets in 2017.</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risk</w:t>
      </w:r>
    </w:p>
    <w:p>
      <w:pPr>
        <w:spacing w:after="0" w:line="115" w:lineRule="exact"/>
        <w:rPr>
          <w:sz w:val="20"/>
          <w:szCs w:val="20"/>
          <w:color w:val="auto"/>
        </w:rPr>
      </w:pPr>
    </w:p>
    <w:p>
      <w:pPr>
        <w:ind w:left="240" w:right="240" w:firstLine="438"/>
        <w:spacing w:after="0" w:line="275" w:lineRule="auto"/>
        <w:rPr>
          <w:sz w:val="20"/>
          <w:szCs w:val="20"/>
          <w:color w:val="auto"/>
        </w:rPr>
      </w:pPr>
      <w:r>
        <w:rPr>
          <w:rFonts w:ascii="Arial" w:cs="Arial" w:eastAsia="Arial" w:hAnsi="Arial"/>
          <w:sz w:val="18"/>
          <w:szCs w:val="18"/>
          <w:color w:val="auto"/>
        </w:rPr>
        <w:t>Our securities activities are transacted on either a cash or margin basis. Our credit risk is limited in that substantially all of the contracts entered into are settled directly at securities clearing houses.</w:t>
      </w:r>
    </w:p>
    <w:p>
      <w:pPr>
        <w:spacing w:after="0" w:line="170" w:lineRule="exact"/>
        <w:rPr>
          <w:sz w:val="20"/>
          <w:szCs w:val="20"/>
          <w:color w:val="auto"/>
        </w:rPr>
      </w:pPr>
    </w:p>
    <w:p>
      <w:pPr>
        <w:ind w:left="240" w:right="20" w:firstLine="438"/>
        <w:spacing w:after="0" w:line="295" w:lineRule="auto"/>
        <w:rPr>
          <w:sz w:val="20"/>
          <w:szCs w:val="20"/>
          <w:color w:val="auto"/>
        </w:rPr>
      </w:pPr>
      <w:r>
        <w:rPr>
          <w:rFonts w:ascii="Arial" w:cs="Arial" w:eastAsia="Arial" w:hAnsi="Arial"/>
          <w:sz w:val="16"/>
          <w:szCs w:val="16"/>
          <w:color w:val="auto"/>
        </w:rPr>
        <w:t>In margin transactions, we extend credit to the clients, subject to various regulatory and internal margin requirements, collateralized by cash and securities in the client’s account. IPO loans are exposed to credit risk from clients who fail to repay the loans upon IPO stock allotment. We monitor our clients’ collateral level and have the right to dispose the newly alloted stocks once the stocks start trading. Bridge loans to enterprise pledged by shares are exposed to credit risk from counterparties who fails to repay the loans. We monitor the collateral level of bridge loans in real time, and have the right to dispose of the pledged shares once the collateral level falls under the minimal level required to get the loans repaid.</w:t>
      </w:r>
    </w:p>
    <w:p>
      <w:pPr>
        <w:spacing w:after="0" w:line="158"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Liabilities to other brokers and dealers related to unsettled transactions are recorded at the amount for which the securities were purchased, and are paid upon receipt of the securities from other brokers or dealers.</w:t>
      </w:r>
    </w:p>
    <w:p>
      <w:pPr>
        <w:spacing w:after="0" w:line="170" w:lineRule="exact"/>
        <w:rPr>
          <w:sz w:val="20"/>
          <w:szCs w:val="20"/>
          <w:color w:val="auto"/>
        </w:rPr>
      </w:pPr>
    </w:p>
    <w:p>
      <w:pPr>
        <w:ind w:left="240" w:right="40" w:firstLine="438"/>
        <w:spacing w:after="0" w:line="275" w:lineRule="auto"/>
        <w:rPr>
          <w:sz w:val="20"/>
          <w:szCs w:val="20"/>
          <w:color w:val="auto"/>
        </w:rPr>
      </w:pPr>
      <w:r>
        <w:rPr>
          <w:rFonts w:ascii="Arial" w:cs="Arial" w:eastAsia="Arial" w:hAnsi="Arial"/>
          <w:sz w:val="18"/>
          <w:szCs w:val="18"/>
          <w:color w:val="auto"/>
        </w:rPr>
        <w:t>In connection with its clearing activities, Futu Hong Kong is obligated to settle transactions with brokers and other financial institutions even if its clients fail to meet their obligations to us. Clients are required to</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7"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180"/>
        <w:spacing w:after="0" w:line="262" w:lineRule="auto"/>
        <w:rPr>
          <w:sz w:val="20"/>
          <w:szCs w:val="20"/>
          <w:color w:val="auto"/>
        </w:rPr>
      </w:pPr>
      <w:r>
        <w:rPr>
          <w:rFonts w:ascii="Arial" w:cs="Arial" w:eastAsia="Arial" w:hAnsi="Arial"/>
          <w:sz w:val="18"/>
          <w:szCs w:val="18"/>
          <w:color w:val="auto"/>
        </w:rPr>
        <w:t>complete their transactions by the settlement date, generally two business days after the trade date. If clients do not fulfill their contractual obligations, we may incur losses. We have established procedures to reduce this risk by generally requiring that clients deposit sufficient cash and/or securities into their account prior to placing an order.</w:t>
      </w:r>
    </w:p>
    <w:p>
      <w:pPr>
        <w:spacing w:after="0" w:line="181" w:lineRule="exact"/>
        <w:rPr>
          <w:sz w:val="20"/>
          <w:szCs w:val="20"/>
          <w:color w:val="auto"/>
        </w:rPr>
      </w:pPr>
    </w:p>
    <w:p>
      <w:pPr>
        <w:ind w:left="240" w:right="100" w:firstLine="438"/>
        <w:spacing w:after="0" w:line="254" w:lineRule="auto"/>
        <w:rPr>
          <w:sz w:val="20"/>
          <w:szCs w:val="20"/>
          <w:color w:val="auto"/>
        </w:rPr>
      </w:pPr>
      <w:r>
        <w:rPr>
          <w:rFonts w:ascii="Arial" w:cs="Arial" w:eastAsia="Arial" w:hAnsi="Arial"/>
          <w:sz w:val="18"/>
          <w:szCs w:val="18"/>
          <w:color w:val="auto"/>
        </w:rPr>
        <w:t>Our exposure to credit risk associated with its trading and other activities is measured on an individual counterparty basis, as well as by groups of counterparties that share similar attributes. There was no revenue from clients which individually represented greater than 10% of the total revenues for the years ended December 31, 2016 and 2017, respectively. Concentrations of credit risk can be affected by changes in political, industry, or economic factors. To reduce the potential for risk concentration, credit limits are established and exposure is monitored in light of changing counterparty and market conditions. As of December 31, 2017 and 2016, we did not have any material concentrations of credit risk outside the ordinary course of business.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Fluctuations in market interest rates may negatively affect our financial condition and results of operations. We are exposed to floating interest rate risk on cash deposit, floating rate borrowings and margin loans receivables. An increase in prevailing interest rates would lead to an increase in interest income from margin financing clients while at the same time resulting in an increase in interest expenses on the floating rate borrowings. We believe the risks due to changes in interest rates are not material to us, and we have not used any derivative financial instruments to manage our interest risk exposure.</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9" w:lineRule="exact"/>
        <w:rPr>
          <w:sz w:val="20"/>
          <w:szCs w:val="20"/>
          <w:color w:val="auto"/>
        </w:rPr>
      </w:pPr>
    </w:p>
    <w:p>
      <w:pPr>
        <w:ind w:left="240" w:right="140" w:firstLine="438"/>
        <w:spacing w:after="0" w:line="275" w:lineRule="auto"/>
        <w:rPr>
          <w:sz w:val="20"/>
          <w:szCs w:val="20"/>
          <w:color w:val="auto"/>
        </w:rPr>
      </w:pPr>
      <w:r>
        <w:rPr>
          <w:rFonts w:ascii="Arial" w:cs="Arial" w:eastAsia="Arial" w:hAnsi="Arial"/>
          <w:sz w:val="18"/>
          <w:szCs w:val="18"/>
          <w:color w:val="auto"/>
        </w:rPr>
        <w:t>A list of recently issued accounting pronouncements that are relevant to us is included in note 2 to our consolidated financial statements included elsewhere in this prospectus.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7"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INDUSTRY</w:t>
      </w:r>
    </w:p>
    <w:p>
      <w:pPr>
        <w:spacing w:after="0" w:line="227" w:lineRule="exact"/>
        <w:rPr>
          <w:sz w:val="20"/>
          <w:szCs w:val="20"/>
          <w:color w:val="auto"/>
        </w:rPr>
      </w:pPr>
    </w:p>
    <w:p>
      <w:pPr>
        <w:ind w:left="240" w:firstLine="438"/>
        <w:spacing w:after="0" w:line="274" w:lineRule="auto"/>
        <w:rPr>
          <w:sz w:val="20"/>
          <w:szCs w:val="20"/>
          <w:color w:val="auto"/>
        </w:rPr>
      </w:pPr>
      <w:r>
        <w:rPr>
          <w:rFonts w:ascii="Arial" w:cs="Arial" w:eastAsia="Arial" w:hAnsi="Arial"/>
          <w:sz w:val="17"/>
          <w:szCs w:val="17"/>
          <w:i w:val="1"/>
          <w:iCs w:val="1"/>
          <w:color w:val="auto"/>
        </w:rPr>
        <w:t>Unless otherwise indicated, all information and data provided in the section is cited from the industry report issued by Oliver Wyman. Although we believe the data and information included in the Oliver Wyman report to be reliable, we have not independently verified the accuracy or completeness of the information and data included therein. This section also includes projections based on a number of assumptions. The online brokerage and related industries may not grow at the rate projected by market data, or at all. Failure of these markets to grow at the projected rate may have a material and adverse effect on our business and the market price of our ADSs.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Global Securities Market</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15" w:lineRule="exact"/>
        <w:rPr>
          <w:sz w:val="20"/>
          <w:szCs w:val="20"/>
          <w:color w:val="auto"/>
        </w:rPr>
      </w:pPr>
    </w:p>
    <w:p>
      <w:pPr>
        <w:ind w:left="240" w:right="140" w:firstLine="438"/>
        <w:spacing w:after="0" w:line="284" w:lineRule="auto"/>
        <w:rPr>
          <w:sz w:val="20"/>
          <w:szCs w:val="20"/>
          <w:color w:val="auto"/>
        </w:rPr>
      </w:pPr>
      <w:r>
        <w:rPr>
          <w:rFonts w:ascii="Arial" w:cs="Arial" w:eastAsia="Arial" w:hAnsi="Arial"/>
          <w:sz w:val="17"/>
          <w:szCs w:val="17"/>
          <w:color w:val="auto"/>
        </w:rPr>
        <w:t>The global securities market, including markets for stocks, bonds, funds, derivatives and others, grew from US$77.9 trillion in 2012 to US$99.0 trillion in 2017. As the popularity of digital investment channels grew, online trading volume as a percentage of total trading volume expanded from 15.8% in 2012 to 35.2% in 2017. Online trading refers to transactions submitted and executed electronically.</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Global Online Securities Market</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15" w:lineRule="exact"/>
        <w:rPr>
          <w:sz w:val="20"/>
          <w:szCs w:val="20"/>
          <w:color w:val="auto"/>
        </w:rPr>
      </w:pPr>
    </w:p>
    <w:p>
      <w:pPr>
        <w:ind w:left="240" w:right="20" w:firstLine="438"/>
        <w:spacing w:after="0" w:line="275" w:lineRule="auto"/>
        <w:rPr>
          <w:sz w:val="20"/>
          <w:szCs w:val="20"/>
          <w:color w:val="auto"/>
        </w:rPr>
      </w:pPr>
      <w:r>
        <w:rPr>
          <w:rFonts w:ascii="Arial" w:cs="Arial" w:eastAsia="Arial" w:hAnsi="Arial"/>
          <w:sz w:val="18"/>
          <w:szCs w:val="18"/>
          <w:color w:val="auto"/>
        </w:rPr>
        <w:t>The global online securities market has expanded rapidly at a CAGR of 23.1% from 2012 to 2017, driven by general market growth and a shift in consumer preferences towards digital channels.</w:t>
      </w:r>
    </w:p>
    <w:p>
      <w:pPr>
        <w:spacing w:after="0" w:line="200" w:lineRule="exact"/>
        <w:rPr>
          <w:sz w:val="20"/>
          <w:szCs w:val="20"/>
          <w:color w:val="auto"/>
        </w:rPr>
      </w:pPr>
    </w:p>
    <w:p>
      <w:pPr>
        <w:spacing w:after="0" w:line="253" w:lineRule="exact"/>
        <w:rPr>
          <w:sz w:val="20"/>
          <w:szCs w:val="20"/>
          <w:color w:val="auto"/>
        </w:rPr>
      </w:pPr>
    </w:p>
    <w:p>
      <w:pPr>
        <w:ind w:left="2540"/>
        <w:spacing w:after="0"/>
        <w:tabs>
          <w:tab w:leader="none" w:pos="7900" w:val="left"/>
        </w:tabs>
        <w:rPr>
          <w:sz w:val="20"/>
          <w:szCs w:val="20"/>
          <w:color w:val="auto"/>
        </w:rPr>
      </w:pPr>
      <w:r>
        <w:rPr>
          <w:rFonts w:ascii="Arial" w:cs="Arial" w:eastAsia="Arial" w:hAnsi="Arial"/>
          <w:sz w:val="16"/>
          <w:szCs w:val="16"/>
          <w:b w:val="1"/>
          <w:bCs w:val="1"/>
          <w:color w:val="auto"/>
        </w:rPr>
        <w:t>Global Online Securities Trading Volume</w:t>
      </w:r>
      <w:r>
        <w:rPr>
          <w:sz w:val="20"/>
          <w:szCs w:val="20"/>
          <w:color w:val="auto"/>
        </w:rPr>
        <w:tab/>
      </w:r>
      <w:r>
        <w:rPr>
          <w:rFonts w:ascii="Arial" w:cs="Arial" w:eastAsia="Arial" w:hAnsi="Arial"/>
          <w:sz w:val="14"/>
          <w:szCs w:val="14"/>
          <w:b w:val="1"/>
          <w:bCs w:val="1"/>
          <w:color w:val="auto"/>
        </w:rPr>
        <w:t>2017 Breakdown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156210</wp:posOffset>
            </wp:positionV>
            <wp:extent cx="5158105" cy="15176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5810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Growth drivers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primary drivers behind the growth of online securities trading include:</w:t>
      </w:r>
    </w:p>
    <w:p>
      <w:pPr>
        <w:spacing w:after="0" w:line="129" w:lineRule="exact"/>
        <w:rPr>
          <w:sz w:val="20"/>
          <w:szCs w:val="20"/>
          <w:color w:val="auto"/>
        </w:rPr>
      </w:pPr>
    </w:p>
    <w:p>
      <w:pPr>
        <w:ind w:left="1100" w:hanging="435"/>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overall growth in global capital markets and in trading volumes;</w:t>
      </w:r>
    </w:p>
    <w:p>
      <w:pPr>
        <w:spacing w:after="0" w:line="128" w:lineRule="exact"/>
        <w:rPr>
          <w:rFonts w:ascii="Arial" w:cs="Arial" w:eastAsia="Arial" w:hAnsi="Arial"/>
          <w:sz w:val="18"/>
          <w:szCs w:val="18"/>
          <w:color w:val="auto"/>
        </w:rPr>
      </w:pPr>
    </w:p>
    <w:p>
      <w:pPr>
        <w:ind w:left="1100" w:right="180" w:hanging="435"/>
        <w:spacing w:after="0" w:line="275"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growing consumer receptivity to, and preferences for, online financial services, driven in part by the coming-of-age of the digitally-savvy generation;</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technological advances including cloud infrastructure, artificial intelligence and internet security; and</w:t>
      </w:r>
    </w:p>
    <w:p>
      <w:pPr>
        <w:spacing w:after="0" w:line="128" w:lineRule="exact"/>
        <w:rPr>
          <w:rFonts w:ascii="Arial" w:cs="Arial" w:eastAsia="Arial" w:hAnsi="Arial"/>
          <w:sz w:val="18"/>
          <w:szCs w:val="18"/>
          <w:color w:val="auto"/>
        </w:rPr>
      </w:pPr>
    </w:p>
    <w:p>
      <w:pPr>
        <w:ind w:left="1100" w:right="420" w:hanging="435"/>
        <w:spacing w:after="0" w:line="275"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investment thresholds and trading commissions, which can often be profitably and sustainably offered by operationally efficient digital players.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240" w:top="457" w:right="5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broad trends continue to impact the online securities industry:</w:t>
      </w:r>
    </w:p>
    <w:p>
      <w:pPr>
        <w:spacing w:after="0" w:line="129" w:lineRule="exact"/>
        <w:rPr>
          <w:sz w:val="20"/>
          <w:szCs w:val="20"/>
          <w:color w:val="auto"/>
        </w:rPr>
      </w:pPr>
    </w:p>
    <w:p>
      <w:pPr>
        <w:ind w:left="1100" w:right="120" w:hanging="435"/>
        <w:spacing w:after="0" w:line="275"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traditional brokers are shifting online while purely offline brokers are increasingly at a disadvantage or, in some cases, exiting the market altogether;</w:t>
      </w:r>
    </w:p>
    <w:p>
      <w:pPr>
        <w:spacing w:after="0" w:line="76" w:lineRule="exact"/>
        <w:rPr>
          <w:rFonts w:ascii="Arial" w:cs="Arial" w:eastAsia="Arial" w:hAnsi="Arial"/>
          <w:sz w:val="18"/>
          <w:szCs w:val="18"/>
          <w:color w:val="auto"/>
        </w:rPr>
      </w:pPr>
    </w:p>
    <w:p>
      <w:pPr>
        <w:ind w:left="1100" w:right="80" w:hanging="435"/>
        <w:spacing w:after="0" w:line="275"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internet giants continue to invest in online brokerage services, demonstrating the industry’s recognition of online brokerage services as an important component of a financial services business and potentially a gateway to broader opportunities;</w:t>
      </w:r>
    </w:p>
    <w:p>
      <w:pPr>
        <w:spacing w:after="0" w:line="76" w:lineRule="exact"/>
        <w:rPr>
          <w:rFonts w:ascii="Arial" w:cs="Arial" w:eastAsia="Arial" w:hAnsi="Arial"/>
          <w:sz w:val="18"/>
          <w:szCs w:val="18"/>
          <w:color w:val="auto"/>
        </w:rPr>
      </w:pPr>
    </w:p>
    <w:p>
      <w:pPr>
        <w:ind w:left="1100" w:right="20" w:hanging="435"/>
        <w:spacing w:after="0" w:line="275"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technological barriers to entry remain high particularly relating to building a secure infrastructure that can transcend geographies and asset classes;</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operational barriers to entry remain high particularly relating to regulatory and capital requirements;</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user experience remains a key competitive strength as digitally born consumers become a larger component of the addressable market; and</w:t>
      </w:r>
    </w:p>
    <w:p>
      <w:pPr>
        <w:spacing w:after="0" w:line="151" w:lineRule="exact"/>
        <w:rPr>
          <w:rFonts w:ascii="Arial" w:cs="Arial" w:eastAsia="Arial" w:hAnsi="Arial"/>
          <w:sz w:val="16"/>
          <w:szCs w:val="16"/>
          <w:color w:val="auto"/>
        </w:rPr>
      </w:pPr>
    </w:p>
    <w:p>
      <w:pPr>
        <w:ind w:left="1100" w:hanging="435"/>
        <w:spacing w:after="0"/>
        <w:tabs>
          <w:tab w:leader="none" w:pos="11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revenue models are evolving as competition intensifies, with ancillary and other value-added services underlying platform differentiation.</w:t>
      </w:r>
    </w:p>
    <w:p>
      <w:pPr>
        <w:spacing w:after="0" w:line="3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Hong Kong Securities Market</w:t>
      </w:r>
    </w:p>
    <w:p>
      <w:pPr>
        <w:spacing w:after="0" w:line="119" w:lineRule="exact"/>
        <w:rPr>
          <w:sz w:val="20"/>
          <w:szCs w:val="20"/>
          <w:color w:val="auto"/>
        </w:rPr>
      </w:pPr>
    </w:p>
    <w:p>
      <w:pPr>
        <w:jc w:val="both"/>
        <w:ind w:left="240" w:right="20" w:firstLine="438"/>
        <w:spacing w:after="0" w:line="262" w:lineRule="auto"/>
        <w:rPr>
          <w:sz w:val="20"/>
          <w:szCs w:val="20"/>
          <w:color w:val="auto"/>
        </w:rPr>
      </w:pPr>
      <w:r>
        <w:rPr>
          <w:rFonts w:ascii="Arial" w:cs="Arial" w:eastAsia="Arial" w:hAnsi="Arial"/>
          <w:sz w:val="18"/>
          <w:szCs w:val="18"/>
          <w:color w:val="auto"/>
        </w:rPr>
        <w:t>Hong Kong is the world’s fourth largest online securities market, with annual trading volume growing from US$404.5 billion in 2012 to US$1.6 trillion in 2017, representing a CAGR of 31.3%, exceeding the global average of 23.1%. The size of Hong Kong’s online securities market is expected to reach US$3.1 trillion in 2022, representing a forward CAGR of 14.1%.</w:t>
      </w:r>
    </w:p>
    <w:p>
      <w:pPr>
        <w:spacing w:after="0" w:line="39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Hong Kong’s Online Securities Trading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170180</wp:posOffset>
            </wp:positionV>
            <wp:extent cx="5866130" cy="30010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66130" cy="300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40" w:right="140"/>
        <w:spacing w:after="0" w:line="250" w:lineRule="auto"/>
        <w:rPr>
          <w:sz w:val="20"/>
          <w:szCs w:val="20"/>
          <w:color w:val="auto"/>
        </w:rPr>
      </w:pPr>
      <w:r>
        <w:rPr>
          <w:rFonts w:ascii="Arial" w:cs="Arial" w:eastAsia="Arial" w:hAnsi="Arial"/>
          <w:sz w:val="14"/>
          <w:szCs w:val="14"/>
          <w:color w:val="auto"/>
        </w:rPr>
        <w:t>Note: According to Oliver Wyman, the retail segment in online securities market refers to securities trading originated from orders entered directly by retail investors and channeled to the brokers via electronic media.</w:t>
      </w:r>
    </w:p>
    <w:p>
      <w:pPr>
        <w:spacing w:after="0" w:line="11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40"/>
          </w:cols>
          <w:pgMar w:left="240" w:top="457" w:right="6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Hong Kong online securities market is characterized by the following:</w:t>
      </w:r>
    </w:p>
    <w:p>
      <w:pPr>
        <w:spacing w:after="0" w:line="129" w:lineRule="exact"/>
        <w:rPr>
          <w:sz w:val="20"/>
          <w:szCs w:val="20"/>
          <w:color w:val="auto"/>
        </w:rPr>
      </w:pPr>
    </w:p>
    <w:p>
      <w:pPr>
        <w:ind w:left="1100" w:hanging="435"/>
        <w:spacing w:after="0"/>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increasing importance of retail channel: retail clients are gaining increasing market importance, with trading volume growing from</w:t>
      </w:r>
    </w:p>
    <w:p>
      <w:pPr>
        <w:spacing w:after="0" w:line="34" w:lineRule="exact"/>
        <w:rPr>
          <w:rFonts w:ascii="Arial" w:cs="Arial" w:eastAsia="Arial" w:hAnsi="Arial"/>
          <w:sz w:val="17"/>
          <w:szCs w:val="17"/>
          <w:color w:val="auto"/>
        </w:rPr>
      </w:pPr>
    </w:p>
    <w:p>
      <w:pPr>
        <w:ind w:left="1100" w:right="60"/>
        <w:spacing w:after="0" w:line="258" w:lineRule="auto"/>
        <w:rPr>
          <w:rFonts w:ascii="Arial" w:cs="Arial" w:eastAsia="Arial" w:hAnsi="Arial"/>
          <w:sz w:val="17"/>
          <w:szCs w:val="17"/>
          <w:color w:val="auto"/>
        </w:rPr>
      </w:pPr>
      <w:r>
        <w:rPr>
          <w:rFonts w:ascii="Arial" w:cs="Arial" w:eastAsia="Arial" w:hAnsi="Arial"/>
          <w:sz w:val="18"/>
          <w:szCs w:val="18"/>
          <w:color w:val="auto"/>
        </w:rPr>
        <w:t>US$138.0 billion in 2012 to US$795.5 billion in 2017. Over the same period, retail trading volumes increased from 34.1% to 50.3% of the total market;</w:t>
      </w:r>
    </w:p>
    <w:p>
      <w:pPr>
        <w:spacing w:after="0" w:line="90" w:lineRule="exact"/>
        <w:rPr>
          <w:rFonts w:ascii="Arial" w:cs="Arial" w:eastAsia="Arial" w:hAnsi="Arial"/>
          <w:sz w:val="17"/>
          <w:szCs w:val="17"/>
          <w:color w:val="auto"/>
        </w:rPr>
      </w:pPr>
    </w:p>
    <w:p>
      <w:pPr>
        <w:ind w:left="1100" w:hanging="435"/>
        <w:spacing w:after="0" w:line="262"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fast-growing online players: the number of online brokers, who are defined by HKEx as exchange participants that offer online trading services to retail investors, increased significantly from 126 in 2007 to 274 in 2016, expanding from 30.0% to 54.7% of the total number of brokers over the period;</w:t>
      </w:r>
    </w:p>
    <w:p>
      <w:pPr>
        <w:spacing w:after="0" w:line="87" w:lineRule="exact"/>
        <w:rPr>
          <w:rFonts w:ascii="Arial" w:cs="Arial" w:eastAsia="Arial" w:hAnsi="Arial"/>
          <w:sz w:val="18"/>
          <w:szCs w:val="18"/>
          <w:color w:val="auto"/>
        </w:rPr>
      </w:pPr>
    </w:p>
    <w:p>
      <w:pPr>
        <w:ind w:left="1100" w:right="100" w:hanging="435"/>
        <w:spacing w:after="0" w:line="275"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online players driving innovation: For example, on July 12, 2018, HK SFC released a circular regarding non face-to-face account opening by online brokers, demonstrating its acknowledgement of an evolving industry;</w:t>
      </w:r>
    </w:p>
    <w:p>
      <w:pPr>
        <w:spacing w:after="0" w:line="76" w:lineRule="exact"/>
        <w:rPr>
          <w:rFonts w:ascii="Arial" w:cs="Arial" w:eastAsia="Arial" w:hAnsi="Arial"/>
          <w:sz w:val="18"/>
          <w:szCs w:val="18"/>
          <w:color w:val="auto"/>
        </w:rPr>
      </w:pPr>
    </w:p>
    <w:p>
      <w:pPr>
        <w:jc w:val="both"/>
        <w:ind w:left="1100" w:right="80" w:hanging="435"/>
        <w:spacing w:after="0" w:line="262"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HKEx gaining global importance: Hong Kong IPOs are propelling the market. Hong Kong has been a top four IPO listing exchange in the world over the last five years, and ranked second in 2015 and 2016. Growth in the China technology and internet sectors, in particular, has driven issuances in Hong Kong; and</w:t>
      </w:r>
    </w:p>
    <w:p>
      <w:pPr>
        <w:spacing w:after="0" w:line="87" w:lineRule="exact"/>
        <w:rPr>
          <w:rFonts w:ascii="Arial" w:cs="Arial" w:eastAsia="Arial" w:hAnsi="Arial"/>
          <w:sz w:val="18"/>
          <w:szCs w:val="18"/>
          <w:color w:val="auto"/>
        </w:rPr>
      </w:pPr>
    </w:p>
    <w:p>
      <w:pPr>
        <w:ind w:left="1100" w:right="20" w:hanging="435"/>
        <w:spacing w:after="0" w:line="255"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increasingly active local and overseas investors: Hong Kong-based local investors are becoming more active, with trading volume growing from US$134.2 billion in 2012 to US$632.2 billion in 2017. Meanwhile, contribution of overseas investors to the online retail trading volumes in Hong Kong increased from 2.8% to 20.5% over the same period, as China-based investors have increased their overseas investment in the recent years. At the same time, the introduction of Shanghai-HK connect has led more Hong Kong-based investors to invest in China’s securities market.</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Hong Kong online securities market is currently served by three types of brokers:</w:t>
      </w:r>
    </w:p>
    <w:p>
      <w:pPr>
        <w:spacing w:after="0" w:line="129" w:lineRule="exact"/>
        <w:rPr>
          <w:sz w:val="20"/>
          <w:szCs w:val="20"/>
          <w:color w:val="auto"/>
        </w:rPr>
      </w:pPr>
    </w:p>
    <w:p>
      <w:pPr>
        <w:ind w:left="1100" w:hanging="435"/>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Pure-play online brokers:</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operate online only and offer competitive commissions rates;</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operate asset-light business models with typically strong technological capabilities;</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offer market intelligence and social networking functions as engagement and client acquisition tools; and</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serve mainly retail investors largely consisting of younger generations and Chinese nationals.</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Hybrid brokers with a combination of online and offline channels:</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offer comprehensive financial services;</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have generally long operating histories with established client base; and</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serve both institutional and retail investors.</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Brokerage business unit within a commercial bank:</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offer comprehensive banking and brokerage services;</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rely on commercial banks’ sales network and client reach;</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larger investor asset base but lower overall trading frequency;</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charge relatively higher commission rates due to higher operating costs; and</w:t>
      </w:r>
    </w:p>
    <w:p>
      <w:pPr>
        <w:spacing w:after="0" w:line="128" w:lineRule="exact"/>
        <w:rPr>
          <w:rFonts w:ascii="Arial" w:cs="Arial" w:eastAsia="Arial" w:hAnsi="Arial"/>
          <w:sz w:val="18"/>
          <w:szCs w:val="18"/>
          <w:color w:val="auto"/>
        </w:rPr>
      </w:pPr>
    </w:p>
    <w:p>
      <w:pPr>
        <w:ind w:left="2080" w:hanging="421"/>
        <w:spacing w:after="0"/>
        <w:tabs>
          <w:tab w:leader="none" w:pos="2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serve both institutional and retail investors.</w:t>
      </w:r>
    </w:p>
    <w:p>
      <w:pPr>
        <w:spacing w:after="0" w:line="1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240" w:top="457" w:right="5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Top 10 Online Brokers in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170180</wp:posOffset>
            </wp:positionV>
            <wp:extent cx="5414010" cy="22764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14010" cy="227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Note:</w:t>
      </w:r>
    </w:p>
    <w:p>
      <w:pPr>
        <w:ind w:left="560" w:hanging="324"/>
        <w:spacing w:after="0"/>
        <w:tabs>
          <w:tab w:leader="none" w:pos="5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ranking is based on estimated online brokerage revenues derived from retail investors for the six months ended June 30, 2018 with reference to data gathered from public sources.</w:t>
      </w:r>
    </w:p>
    <w:p>
      <w:pPr>
        <w:spacing w:after="0" w:line="32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United States Securities Market</w:t>
      </w:r>
    </w:p>
    <w:p>
      <w:pPr>
        <w:spacing w:after="0" w:line="119"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The United States is the world’s second largest online securities market, with annual trading volume growing from US$5.5 trillion in 2012 to US$8.6 trillion in 2017, representing a CAGR of 9.4%. The market size is expected to reach US$11.6 trillion in 2022, representing a forward CAGR of 6.3%.</w:t>
      </w:r>
    </w:p>
    <w:p>
      <w:pPr>
        <w:spacing w:after="0" w:line="393" w:lineRule="exact"/>
        <w:rPr>
          <w:sz w:val="20"/>
          <w:szCs w:val="20"/>
          <w:color w:val="auto"/>
        </w:rPr>
      </w:pPr>
    </w:p>
    <w:p>
      <w:pPr>
        <w:jc w:val="center"/>
        <w:ind w:right="-359"/>
        <w:spacing w:after="0"/>
        <w:rPr>
          <w:sz w:val="20"/>
          <w:szCs w:val="20"/>
          <w:color w:val="auto"/>
        </w:rPr>
      </w:pPr>
      <w:r>
        <w:rPr>
          <w:rFonts w:ascii="Arial" w:cs="Arial" w:eastAsia="Arial" w:hAnsi="Arial"/>
          <w:sz w:val="15"/>
          <w:szCs w:val="15"/>
          <w:b w:val="1"/>
          <w:bCs w:val="1"/>
          <w:color w:val="auto"/>
        </w:rPr>
        <w:t>United States Online Securities Trading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157480</wp:posOffset>
            </wp:positionV>
            <wp:extent cx="4024630" cy="22339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24630" cy="2233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United States online securities market is characterized by the following:</w:t>
      </w:r>
    </w:p>
    <w:p>
      <w:pPr>
        <w:spacing w:after="0" w:line="129" w:lineRule="exact"/>
        <w:rPr>
          <w:sz w:val="20"/>
          <w:szCs w:val="20"/>
          <w:color w:val="auto"/>
        </w:rPr>
      </w:pPr>
    </w:p>
    <w:p>
      <w:pPr>
        <w:ind w:left="1100" w:right="220" w:hanging="435"/>
        <w:spacing w:after="0" w:line="339" w:lineRule="auto"/>
        <w:tabs>
          <w:tab w:leader="none" w:pos="11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runway for retail investors: online retail trading accounts for 67.7% of online securities trading volumes in the United States. Total retail trading represents 23.0% of total securities trading volume. The market opportunity in retail brokerage is therefore significant; and</w:t>
      </w:r>
    </w:p>
    <w:p>
      <w:pPr>
        <w:spacing w:after="0" w:line="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240" w:top="457" w:right="5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100" w:right="340" w:hanging="435"/>
        <w:spacing w:after="0" w:line="275"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increasingly integrated offerings: discount brokers are developing increasingly integrated service offerings, leveling the playing field for retail investors.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China-Based Investors’ Overseas Investment Market</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15" w:lineRule="exact"/>
        <w:rPr>
          <w:sz w:val="20"/>
          <w:szCs w:val="20"/>
          <w:color w:val="auto"/>
        </w:rPr>
      </w:pPr>
    </w:p>
    <w:p>
      <w:pPr>
        <w:ind w:left="240" w:right="60" w:firstLine="438"/>
        <w:spacing w:after="0" w:line="255" w:lineRule="auto"/>
        <w:rPr>
          <w:sz w:val="20"/>
          <w:szCs w:val="20"/>
          <w:color w:val="auto"/>
        </w:rPr>
      </w:pPr>
      <w:r>
        <w:rPr>
          <w:rFonts w:ascii="Arial" w:cs="Arial" w:eastAsia="Arial" w:hAnsi="Arial"/>
          <w:sz w:val="18"/>
          <w:szCs w:val="18"/>
          <w:color w:val="auto"/>
        </w:rPr>
        <w:t>The growth of China’s mass affluent class has driven rapid growth in demand for wealth management services. Investable assets have grown from US$11.0 trillion in 2012 to US$22.1 trillion in 2017, representing a CAGR of 15.0% and are expected to continue growing at a similar rate, reaching US$36.8 trillion in 2022. Meanwhile, the need for diversification further drives demand for overseas asset allocation opportunities. As a result, China-based investors’ overseas investable assets are expected to grow from US$1.1 trillion in 2017 to US$3.5 trillion in 2022, representing a forward CAGR of 25.8%</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China-Based Investors’ Overseas Investable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170180</wp:posOffset>
            </wp:positionV>
            <wp:extent cx="3163570" cy="17310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63570" cy="173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240" w:right="40" w:firstLine="438"/>
        <w:spacing w:after="0" w:line="284" w:lineRule="auto"/>
        <w:rPr>
          <w:sz w:val="20"/>
          <w:szCs w:val="20"/>
          <w:color w:val="auto"/>
        </w:rPr>
      </w:pPr>
      <w:r>
        <w:rPr>
          <w:rFonts w:ascii="Arial" w:cs="Arial" w:eastAsia="Arial" w:hAnsi="Arial"/>
          <w:sz w:val="17"/>
          <w:szCs w:val="17"/>
          <w:color w:val="auto"/>
        </w:rPr>
        <w:t>In 2017, the overseas penetration in China represented around 5%, significantly lower than that of developed countries, such as 40% in the United Kingdom and 20% in the United States and Japan. Historically, high net worth investors contributed to the vast majority of China’s overseas investment; however, mass affluent investors are expected to diversify their allocation of investable assets to overseas markets.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Growth drivers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primary drivers behind the growth of overseas investment by China-based investors include:</w:t>
      </w:r>
    </w:p>
    <w:p>
      <w:pPr>
        <w:spacing w:after="0" w:line="129" w:lineRule="exact"/>
        <w:rPr>
          <w:sz w:val="20"/>
          <w:szCs w:val="20"/>
          <w:color w:val="auto"/>
        </w:rPr>
      </w:pPr>
    </w:p>
    <w:p>
      <w:pPr>
        <w:ind w:left="1100" w:right="200" w:hanging="435"/>
        <w:spacing w:after="0" w:line="275"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listing of a large number of Chinese enterprises, especially fast growing technology, media and telecom companies, in Hong Kong and the United States;</w:t>
      </w:r>
    </w:p>
    <w:p>
      <w:pPr>
        <w:spacing w:after="0" w:line="76" w:lineRule="exact"/>
        <w:rPr>
          <w:rFonts w:ascii="Arial" w:cs="Arial" w:eastAsia="Arial" w:hAnsi="Arial"/>
          <w:sz w:val="18"/>
          <w:szCs w:val="18"/>
          <w:color w:val="auto"/>
        </w:rPr>
      </w:pPr>
    </w:p>
    <w:p>
      <w:pPr>
        <w:ind w:left="1100" w:right="200" w:hanging="435"/>
        <w:spacing w:after="0" w:line="275"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Chinese government policies, such as the “Belt and Road” initiatives, guiding China’s outbound investment and the internationalization of Renminbi;</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relatively limited domestic investment opportunities, which has driven China-based investors to seek more investment opportunities abroad;</w:t>
      </w:r>
    </w:p>
    <w:p>
      <w:pPr>
        <w:spacing w:after="0" w:line="151" w:lineRule="exact"/>
        <w:rPr>
          <w:rFonts w:ascii="Arial" w:cs="Arial" w:eastAsia="Arial" w:hAnsi="Arial"/>
          <w:sz w:val="16"/>
          <w:szCs w:val="16"/>
          <w:color w:val="auto"/>
        </w:rPr>
      </w:pPr>
    </w:p>
    <w:p>
      <w:pPr>
        <w:ind w:left="1100" w:hanging="435"/>
        <w:spacing w:after="0"/>
        <w:tabs>
          <w:tab w:leader="none" w:pos="11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increasingly attractive overseas opportunities as the United States and European economies recover from the Global Financial Crisis; and</w:t>
      </w:r>
    </w:p>
    <w:p>
      <w:pPr>
        <w:spacing w:after="0" w:line="151" w:lineRule="exact"/>
        <w:rPr>
          <w:rFonts w:ascii="Arial" w:cs="Arial" w:eastAsia="Arial" w:hAnsi="Arial"/>
          <w:sz w:val="16"/>
          <w:szCs w:val="16"/>
          <w:color w:val="auto"/>
        </w:rPr>
      </w:pPr>
    </w:p>
    <w:p>
      <w:pPr>
        <w:ind w:left="1100" w:hanging="435"/>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improving infrastructure, largely technology driven, providing channels for overseas investment.</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Overseas investment products and geographies for China-based investors</w:t>
      </w:r>
    </w:p>
    <w:p>
      <w:pPr>
        <w:spacing w:after="0" w:line="115" w:lineRule="exact"/>
        <w:rPr>
          <w:sz w:val="20"/>
          <w:szCs w:val="20"/>
          <w:color w:val="auto"/>
        </w:rPr>
      </w:pPr>
    </w:p>
    <w:p>
      <w:pPr>
        <w:ind w:left="240" w:firstLine="438"/>
        <w:spacing w:after="0" w:line="277" w:lineRule="auto"/>
        <w:rPr>
          <w:sz w:val="20"/>
          <w:szCs w:val="20"/>
          <w:color w:val="auto"/>
        </w:rPr>
      </w:pPr>
      <w:r>
        <w:rPr>
          <w:rFonts w:ascii="Arial" w:cs="Arial" w:eastAsia="Arial" w:hAnsi="Arial"/>
          <w:sz w:val="17"/>
          <w:szCs w:val="17"/>
          <w:color w:val="auto"/>
        </w:rPr>
        <w:t>Financial assets including stock, bond, insurance, mutual fund and others, account for the largest allocation of overseas investment in 2017, among which stock investment reached US$0.2 trillion, representing a CAGR of 33.8% from 2012 to 2017. According to an investor survey conducted by Oliver Wyman with over 6,000 participants, China-based investors trading in overseas markets tend to trade more frequently and maintain more complex and diversified portfolios than investors trading exclusively within China’s domestic market.</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7"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China-Based Investors’ Overseas Asset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173355</wp:posOffset>
            </wp:positionV>
            <wp:extent cx="4587240" cy="2301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87240" cy="230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240" w:firstLine="438"/>
        <w:spacing w:after="0" w:line="257" w:lineRule="auto"/>
        <w:rPr>
          <w:sz w:val="20"/>
          <w:szCs w:val="20"/>
          <w:color w:val="auto"/>
        </w:rPr>
      </w:pPr>
      <w:r>
        <w:rPr>
          <w:rFonts w:ascii="Arial" w:cs="Arial" w:eastAsia="Arial" w:hAnsi="Arial"/>
          <w:sz w:val="18"/>
          <w:szCs w:val="18"/>
          <w:color w:val="auto"/>
        </w:rPr>
        <w:t>The Hong Kong and United States markets are the two most popular markets for China-based investors investing overseas. Despite smaller in its market scale compared to the United States, Hong Kong is favored because of its geographical and cultural proximity to mainland as well as the large number of listed Chinese companies. According to Hong Kong Stock Exchange, in September 2018, Chinese enterprises constituted 67.6% of market capitalization and over 78.7% of monthly stock trading volume.</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China’s Overseas Online Retail Securities Market</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15" w:lineRule="exact"/>
        <w:rPr>
          <w:sz w:val="20"/>
          <w:szCs w:val="20"/>
          <w:color w:val="auto"/>
        </w:rPr>
      </w:pPr>
    </w:p>
    <w:p>
      <w:pPr>
        <w:jc w:val="both"/>
        <w:ind w:left="240" w:firstLine="438"/>
        <w:spacing w:after="0" w:line="275" w:lineRule="auto"/>
        <w:rPr>
          <w:sz w:val="20"/>
          <w:szCs w:val="20"/>
          <w:color w:val="auto"/>
        </w:rPr>
      </w:pPr>
      <w:r>
        <w:rPr>
          <w:rFonts w:ascii="Arial" w:cs="Arial" w:eastAsia="Arial" w:hAnsi="Arial"/>
          <w:sz w:val="18"/>
          <w:szCs w:val="18"/>
          <w:color w:val="auto"/>
        </w:rPr>
        <w:t>China’s overseas online retail securities market represents a unique opportunity combining the high growth of the global online securities market with expanding overseas asset allocation by China-based investors.</w:t>
      </w:r>
    </w:p>
    <w:p>
      <w:pPr>
        <w:spacing w:after="0" w:line="385"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China’s Overseas Online Retail Securities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173355</wp:posOffset>
            </wp:positionV>
            <wp:extent cx="3333750" cy="17221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33750"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40" w:right="180" w:firstLine="438"/>
        <w:spacing w:after="0" w:line="305" w:lineRule="auto"/>
        <w:rPr>
          <w:sz w:val="20"/>
          <w:szCs w:val="20"/>
          <w:color w:val="auto"/>
        </w:rPr>
      </w:pPr>
      <w:r>
        <w:rPr>
          <w:rFonts w:ascii="Arial" w:cs="Arial" w:eastAsia="Arial" w:hAnsi="Arial"/>
          <w:sz w:val="17"/>
          <w:szCs w:val="17"/>
          <w:color w:val="auto"/>
        </w:rPr>
        <w:t>According to Oliver Wyman, in 2017, China’s overseas online retail securities market reached US$297.5 billion, with a CAGR of 90.8% from 2012 to 2017. The market is expected to reach nearly US$1.4 trillion in 2022, representing a CAGR of 35.4% from 2017 to 2022.</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40"/>
          </w:cols>
          <w:pgMar w:left="240" w:top="457" w:right="6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China’s Overseas Online Retail Securities Trading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170180</wp:posOffset>
            </wp:positionV>
            <wp:extent cx="4246245" cy="2037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46245" cy="203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 landscape</w:t>
      </w:r>
    </w:p>
    <w:p>
      <w:pPr>
        <w:spacing w:after="0" w:line="115" w:lineRule="exact"/>
        <w:rPr>
          <w:sz w:val="20"/>
          <w:szCs w:val="20"/>
          <w:color w:val="auto"/>
        </w:rPr>
      </w:pPr>
    </w:p>
    <w:p>
      <w:pPr>
        <w:ind w:left="240" w:right="300" w:firstLine="438"/>
        <w:spacing w:after="0" w:line="275" w:lineRule="auto"/>
        <w:rPr>
          <w:sz w:val="20"/>
          <w:szCs w:val="20"/>
          <w:color w:val="auto"/>
        </w:rPr>
      </w:pPr>
      <w:r>
        <w:rPr>
          <w:rFonts w:ascii="Arial" w:cs="Arial" w:eastAsia="Arial" w:hAnsi="Arial"/>
          <w:sz w:val="18"/>
          <w:szCs w:val="18"/>
          <w:color w:val="auto"/>
        </w:rPr>
        <w:t>The players in this market mainly consist of Chinese financial institutions with strong overseas presence, specifically in Hong Kong and the United States, as well as global players with a presence in the Chinese market.</w:t>
      </w:r>
    </w:p>
    <w:p>
      <w:pPr>
        <w:spacing w:after="0" w:line="38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Top 10 Securities Companies in China’s Overseas Online Retail Securities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170180</wp:posOffset>
            </wp:positionV>
            <wp:extent cx="4075430" cy="21488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75430"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Note:</w:t>
      </w:r>
    </w:p>
    <w:p>
      <w:pPr>
        <w:ind w:left="560" w:hanging="324"/>
        <w:spacing w:after="0"/>
        <w:tabs>
          <w:tab w:leader="none" w:pos="5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ranking is based on estimated online brokerage revenues derived from retail investors for the six months ended June 30, 2018 with reference to data gathered from public sources</w:t>
      </w:r>
    </w:p>
    <w:p>
      <w:pPr>
        <w:spacing w:after="0" w:line="15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80"/>
          </w:cols>
          <w:pgMar w:left="240" w:top="457" w:right="6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Mission</w:t>
      </w:r>
    </w:p>
    <w:p>
      <w:pPr>
        <w:spacing w:after="0" w:line="119" w:lineRule="exact"/>
        <w:rPr>
          <w:sz w:val="20"/>
          <w:szCs w:val="20"/>
          <w:color w:val="auto"/>
        </w:rPr>
      </w:pPr>
    </w:p>
    <w:p>
      <w:pPr>
        <w:ind w:left="240" w:right="40" w:firstLine="438"/>
        <w:spacing w:after="0" w:line="275" w:lineRule="auto"/>
        <w:rPr>
          <w:sz w:val="20"/>
          <w:szCs w:val="20"/>
          <w:color w:val="auto"/>
        </w:rPr>
      </w:pPr>
      <w:r>
        <w:rPr>
          <w:rFonts w:ascii="Arial" w:cs="Arial" w:eastAsia="Arial" w:hAnsi="Arial"/>
          <w:sz w:val="18"/>
          <w:szCs w:val="18"/>
          <w:color w:val="auto"/>
        </w:rPr>
        <w:t>We strive to redefine traditional investing with proprietary technologies and a relentless focus on user experience, providing a gateway to building the world’s leading digital financial institution.</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left="240" w:firstLine="438"/>
        <w:spacing w:after="0" w:line="290" w:lineRule="auto"/>
        <w:rPr>
          <w:sz w:val="20"/>
          <w:szCs w:val="20"/>
          <w:color w:val="auto"/>
        </w:rPr>
      </w:pPr>
      <w:r>
        <w:rPr>
          <w:rFonts w:ascii="Arial" w:cs="Arial" w:eastAsia="Arial" w:hAnsi="Arial"/>
          <w:sz w:val="16"/>
          <w:szCs w:val="16"/>
          <w:color w:val="auto"/>
        </w:rPr>
        <w:t>We are an advanced technology company transforming the investing experience by offering a fully digitized brokerage platform. Technology permeates every part of our business, allowing us to offer a redefined user experience built upon an agile, stable, scalable and secure platform. We primarily serve the emerging affluent Chinese population, pursuing a massive opportunity to facilitate a once-in-a-generation shift in the wealth management industry and build a digital gateway into broader financial services. As of June 30, 2018, we had an attractive and rapidly growing user base of 4.8 million, over 373,000 registered clients, defined as users who have opened trading accounts with us, and over 109,000 paying clients, defined as registered clients who have assets in their trading accounts. For the six months ended June 30, 2018, we brokered HK$478.2 billion (US$61.2 billion) in client trades, underlying a brokerage revenue base which ranked fourth among Hong Kong online retail brokers according to Oliver Wyman.</w:t>
      </w:r>
    </w:p>
    <w:p>
      <w:pPr>
        <w:spacing w:after="0" w:line="162" w:lineRule="exact"/>
        <w:rPr>
          <w:sz w:val="20"/>
          <w:szCs w:val="20"/>
          <w:color w:val="auto"/>
        </w:rPr>
      </w:pPr>
    </w:p>
    <w:p>
      <w:pPr>
        <w:ind w:left="240" w:right="60" w:firstLine="438"/>
        <w:spacing w:after="0" w:line="269" w:lineRule="auto"/>
        <w:rPr>
          <w:sz w:val="20"/>
          <w:szCs w:val="20"/>
          <w:color w:val="auto"/>
        </w:rPr>
      </w:pPr>
      <w:r>
        <w:rPr>
          <w:rFonts w:ascii="Arial" w:cs="Arial" w:eastAsia="Arial" w:hAnsi="Arial"/>
          <w:sz w:val="17"/>
          <w:szCs w:val="17"/>
          <w:color w:val="auto"/>
        </w:rPr>
        <w:t>We launched our business on the premise that no one should be precluded from investing on the basis of prohibitive transaction costs or market inexperience. We thus designed a platform around an elegant user experience integrating clear and relevant market data, social collaboration and best-in-class trade execution, finding that by delivering our vision through a purpose-built technology infrastructure we could disrupt traditional investing conventions. Over the last eight years we have continuously enhanced our technology and built a comprehensive, user-oriented and fully licensed cloud-based platform. This serves as a foundation from which we execute our growth strategies with an operating efficiency that allows us to offer commission rates that are approximately one-fifth of the average rate offered by the leading players in Hong Kong, according to Oliver Wyman, creating a massive barrier to entry. As of December 31, 2017, approximately 60% of our workforce is dedicated to research and development, reflecting the degree to which technological excellence is entrenched in every aspect of our business.</w:t>
      </w:r>
    </w:p>
    <w:p>
      <w:pPr>
        <w:spacing w:after="0" w:line="181"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 xml:space="preserve">We provide investing services through our proprietary digital platform, </w:t>
      </w:r>
      <w:r>
        <w:rPr>
          <w:rFonts w:ascii="Arial" w:cs="Arial" w:eastAsia="Arial" w:hAnsi="Arial"/>
          <w:sz w:val="18"/>
          <w:szCs w:val="18"/>
          <w:i w:val="1"/>
          <w:iCs w:val="1"/>
          <w:color w:val="auto"/>
        </w:rPr>
        <w:t>Futu NiuNiu</w:t>
      </w:r>
      <w:r>
        <w:rPr>
          <w:rFonts w:ascii="Arial" w:cs="Arial" w:eastAsia="Arial" w:hAnsi="Arial"/>
          <w:sz w:val="18"/>
          <w:szCs w:val="18"/>
          <w:color w:val="auto"/>
        </w:rPr>
        <w:t>, a highly integrated application accessible through any mobile device, tablet or desktop. Our primary fee-generating services include trade execution and margin financing which allow our clients to trade securities, such as stocks, warrants, options and ETFs, across different markets. We surround our trading and margin financing services and enhance our user and client experience with market data and news, research, as well as powerful analytical tools, providing our clients with a data rich foundation to simplify the investing decision-making process.</w:t>
      </w:r>
    </w:p>
    <w:p>
      <w:pPr>
        <w:spacing w:after="0" w:line="189" w:lineRule="exact"/>
        <w:rPr>
          <w:sz w:val="20"/>
          <w:szCs w:val="20"/>
          <w:color w:val="auto"/>
        </w:rPr>
      </w:pPr>
    </w:p>
    <w:p>
      <w:pPr>
        <w:ind w:left="240" w:right="40" w:firstLine="438"/>
        <w:spacing w:after="0" w:line="270" w:lineRule="auto"/>
        <w:rPr>
          <w:sz w:val="20"/>
          <w:szCs w:val="20"/>
          <w:color w:val="auto"/>
        </w:rPr>
      </w:pPr>
      <w:r>
        <w:rPr>
          <w:rFonts w:ascii="Arial" w:cs="Arial" w:eastAsia="Arial" w:hAnsi="Arial"/>
          <w:sz w:val="17"/>
          <w:szCs w:val="17"/>
          <w:color w:val="auto"/>
        </w:rPr>
        <w:t xml:space="preserve">We broaden our reach and promote the exchange of information through </w:t>
      </w:r>
      <w:r>
        <w:rPr>
          <w:rFonts w:ascii="Arial" w:cs="Arial" w:eastAsia="Arial" w:hAnsi="Arial"/>
          <w:sz w:val="17"/>
          <w:szCs w:val="17"/>
          <w:i w:val="1"/>
          <w:iCs w:val="1"/>
          <w:color w:val="auto"/>
        </w:rPr>
        <w:t>NiuNiu Community</w:t>
      </w:r>
      <w:r>
        <w:rPr>
          <w:rFonts w:ascii="Arial" w:cs="Arial" w:eastAsia="Arial" w:hAnsi="Arial"/>
          <w:sz w:val="17"/>
          <w:szCs w:val="17"/>
          <w:color w:val="auto"/>
        </w:rPr>
        <w:t xml:space="preserve">, our social network services. In contrast to traditional investing platforms and other online brokers, we have embedded social media tools to create a network centered around our users and provide connectivity to users, investors, companies, analysts, media and key opinion leaders. This fosters the free flow of information, reduces information asymmetry and supports the investing decision-making process. For instance, users can exchange market views, watch live broadcasts of corporate events and participate in investment education courses offered through the </w:t>
      </w:r>
      <w:r>
        <w:rPr>
          <w:rFonts w:ascii="Arial" w:cs="Arial" w:eastAsia="Arial" w:hAnsi="Arial"/>
          <w:sz w:val="17"/>
          <w:szCs w:val="17"/>
          <w:i w:val="1"/>
          <w:iCs w:val="1"/>
          <w:color w:val="auto"/>
        </w:rPr>
        <w:t>NiuNiu Classroom</w:t>
      </w:r>
      <w:r>
        <w:rPr>
          <w:rFonts w:ascii="Arial" w:cs="Arial" w:eastAsia="Arial" w:hAnsi="Arial"/>
          <w:sz w:val="17"/>
          <w:szCs w:val="17"/>
          <w:color w:val="auto"/>
        </w:rPr>
        <w:t>. Importantly, our social network serves as a powerful engagement tool where in June 2018 over 150,000 of our users are active on a daily basis, using our mobile app for an average of 26 minutes and providing invaluable user data which informs our product development and monetization efforts.</w:t>
      </w:r>
    </w:p>
    <w:p>
      <w:pPr>
        <w:spacing w:after="0" w:line="179" w:lineRule="exact"/>
        <w:rPr>
          <w:sz w:val="20"/>
          <w:szCs w:val="20"/>
          <w:color w:val="auto"/>
        </w:rPr>
      </w:pPr>
    </w:p>
    <w:p>
      <w:pPr>
        <w:jc w:val="center"/>
        <w:spacing w:after="0" w:line="309" w:lineRule="auto"/>
        <w:rPr>
          <w:sz w:val="20"/>
          <w:szCs w:val="20"/>
          <w:color w:val="auto"/>
        </w:rPr>
      </w:pPr>
      <w:r>
        <w:rPr>
          <w:rFonts w:ascii="Arial" w:cs="Arial" w:eastAsia="Arial" w:hAnsi="Arial"/>
          <w:sz w:val="16"/>
          <w:szCs w:val="16"/>
          <w:color w:val="auto"/>
        </w:rPr>
        <w:t>We have a young, active and rapidly expanding user and client base. Our clients are, on average, 34 years old and generally high earning. Approximately 45.2% of our clients work in internet, information technology or finance roles. On average, a client who traded in 2017 executed over 180 trades with a total trading volume of HK$7.7 million (US$1.0 million). In 2017, on average, a paying client had account balance of HK$554,379</w:t>
      </w:r>
    </w:p>
    <w:p>
      <w:pPr>
        <w:spacing w:after="0" w:line="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80"/>
          </w:cols>
          <w:pgMar w:left="240" w:top="457"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240"/>
        <w:spacing w:after="0" w:line="262" w:lineRule="auto"/>
        <w:rPr>
          <w:sz w:val="20"/>
          <w:szCs w:val="20"/>
          <w:color w:val="auto"/>
        </w:rPr>
      </w:pPr>
      <w:r>
        <w:rPr>
          <w:rFonts w:ascii="Arial" w:cs="Arial" w:eastAsia="Arial" w:hAnsi="Arial"/>
          <w:sz w:val="18"/>
          <w:szCs w:val="18"/>
          <w:color w:val="auto"/>
        </w:rPr>
        <w:t>(US$70,958). Furthermore, our client base is loyal. We retained over 97% of our paying client base on a quarterly basis in 2017. We grow our client base through organic growth, direct marketing through digital channels, corporate services and offline advertising. For the six months ended June 30, 2018, approximately 53.8% of our client acquisition was organic.</w:t>
      </w:r>
    </w:p>
    <w:p>
      <w:pPr>
        <w:spacing w:after="0" w:line="181" w:lineRule="exact"/>
        <w:rPr>
          <w:sz w:val="20"/>
          <w:szCs w:val="20"/>
          <w:color w:val="auto"/>
        </w:rPr>
      </w:pPr>
    </w:p>
    <w:p>
      <w:pPr>
        <w:ind w:left="240" w:firstLine="438"/>
        <w:spacing w:after="0" w:line="284" w:lineRule="auto"/>
        <w:rPr>
          <w:sz w:val="20"/>
          <w:szCs w:val="20"/>
          <w:color w:val="auto"/>
        </w:rPr>
      </w:pPr>
      <w:r>
        <w:rPr>
          <w:rFonts w:ascii="Arial" w:cs="Arial" w:eastAsia="Arial" w:hAnsi="Arial"/>
          <w:sz w:val="17"/>
          <w:szCs w:val="17"/>
          <w:color w:val="auto"/>
        </w:rPr>
        <w:t>We work closely with our strategic investor, Tencent, across a number of functions in a mutually beneficial relationship. Our close collaboration is in part driven by our shared values of technological excellence and innovation. Collaborating with Tencent creates meaningful and sustainable advantages that our regional and global peers cannot replicate, such as user access and transaction infrastructure.</w:t>
      </w:r>
    </w:p>
    <w:p>
      <w:pPr>
        <w:spacing w:after="0" w:line="165" w:lineRule="exact"/>
        <w:rPr>
          <w:sz w:val="20"/>
          <w:szCs w:val="20"/>
          <w:color w:val="auto"/>
        </w:rPr>
      </w:pPr>
    </w:p>
    <w:p>
      <w:pPr>
        <w:ind w:left="240" w:right="20" w:firstLine="438"/>
        <w:spacing w:after="0" w:line="255" w:lineRule="auto"/>
        <w:rPr>
          <w:sz w:val="20"/>
          <w:szCs w:val="20"/>
          <w:color w:val="auto"/>
        </w:rPr>
      </w:pPr>
      <w:r>
        <w:rPr>
          <w:rFonts w:ascii="Arial" w:cs="Arial" w:eastAsia="Arial" w:hAnsi="Arial"/>
          <w:sz w:val="18"/>
          <w:szCs w:val="18"/>
          <w:color w:val="auto"/>
        </w:rPr>
        <w:t>We have achieved significant growth in our user and client base, client assets, trading volumes and revenues. Our paying clients increased by 125.8% from 35,456 as of December 31, 2016 to 80,057 as of December 31, 2017. Our growing paying client base allowed us to increase client assets and trading volumes by 186.0% and 164.4%, respectively, in 2017 as compared to 2016. This drove revenues of HK$311.7 million (US$39.9 million) in 2017, representing a 258.2% increase from HK$87.0 million in 2016. Over this same period we were able to decrease our net loss from HK$98.5 million in 2016 to HK$8.1 million (US$1.0 million) in 2017.</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Market Opportunity</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see the following dynamics and trends shaping our market opportunity and guiding our growth strategies:</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Fundamentally Underserved Market</w:t>
      </w:r>
    </w:p>
    <w:p>
      <w:pPr>
        <w:spacing w:after="0" w:line="115"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Internet, technology and data advances are rapidly redefining how financial products and services are consumed, particularly relating to mobile engagement, real-time data delivery and extensive social networking. Meanwhile, young investors are demonstrating modern investment objectives that extend further than return targets. In this respect, we view traditional brokerage offerings as underdeveloped from a technology and user experience perspective, highlighting a significant opportunity for digitally-born platforms that can deliver an enhanced experience without sacrificing execution and security.</w:t>
      </w:r>
    </w:p>
    <w:p>
      <w:pPr>
        <w:spacing w:after="0" w:line="189" w:lineRule="exact"/>
        <w:rPr>
          <w:sz w:val="20"/>
          <w:szCs w:val="20"/>
          <w:color w:val="auto"/>
        </w:rPr>
      </w:pPr>
    </w:p>
    <w:p>
      <w:pPr>
        <w:ind w:left="240" w:right="40" w:firstLine="438"/>
        <w:spacing w:after="0" w:line="255" w:lineRule="auto"/>
        <w:rPr>
          <w:sz w:val="20"/>
          <w:szCs w:val="20"/>
          <w:color w:val="auto"/>
        </w:rPr>
      </w:pPr>
      <w:r>
        <w:rPr>
          <w:rFonts w:ascii="Arial" w:cs="Arial" w:eastAsia="Arial" w:hAnsi="Arial"/>
          <w:sz w:val="18"/>
          <w:szCs w:val="18"/>
          <w:color w:val="auto"/>
        </w:rPr>
        <w:t>We are determined to effectively compete to succeed in these markets as we see a massive opportunity deriving from the strong growth of online securities markets in U.S. and Hong Kong and an imminent desire for outbound investment from China-based investors. While we have achieved a leading position in the Hong Kong online retail brokerage market, in the global online securities markets our total market share is less than 1%, according to Oliver Wyman, reduced further when considering the broader wealth management market and highlighting the magnitude of our long-term opportunity.</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Multiple Market Tailwinds</w:t>
      </w:r>
    </w:p>
    <w:p>
      <w:pPr>
        <w:spacing w:after="0" w:line="115" w:lineRule="exact"/>
        <w:rPr>
          <w:sz w:val="20"/>
          <w:szCs w:val="20"/>
          <w:color w:val="auto"/>
        </w:rPr>
      </w:pPr>
    </w:p>
    <w:p>
      <w:pPr>
        <w:ind w:left="240" w:firstLine="438"/>
        <w:spacing w:after="0" w:line="252" w:lineRule="auto"/>
        <w:rPr>
          <w:sz w:val="20"/>
          <w:szCs w:val="20"/>
          <w:color w:val="auto"/>
        </w:rPr>
      </w:pPr>
      <w:r>
        <w:rPr>
          <w:rFonts w:ascii="Arial" w:cs="Arial" w:eastAsia="Arial" w:hAnsi="Arial"/>
          <w:sz w:val="18"/>
          <w:szCs w:val="18"/>
          <w:color w:val="auto"/>
        </w:rPr>
        <w:t>China is generating wealth at a pace unprecedented in history, a function of both the size and the transformation of the market; total investable assets outside China are expected to grow with a CAGR of 25.8% in the next five years, according to Oliver Wyman. With growing wealth, retail investors are increasingly interested in geographically diverse portfolios and the Chinese government policies are, to a certain extent, facilitating portfolio diversification through programs to invest abroad. In 2017, offshore investable assets represented 5.0% of total investable assets for investors in China, as compared to 20.0% in the United States and Japan, and is expected to grow to approximately 10.0% in five years. The demand for wealth management services, including brokerage, is enormous and we expect this demand to sustain through economic cycles and into the future. In particular, China new economy companies are swiftly and rapidly accessing the public markets, providing unique and attractive offshore investment targets which in turn create tremendous opportunities for market participants, like us, who provide services to facilitate and optimize such outbound investment activities.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240" w:top="457"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Upgrade</w:t>
      </w:r>
    </w:p>
    <w:p>
      <w:pPr>
        <w:spacing w:after="0" w:line="115" w:lineRule="exact"/>
        <w:rPr>
          <w:sz w:val="20"/>
          <w:szCs w:val="20"/>
          <w:color w:val="auto"/>
        </w:rPr>
      </w:pPr>
    </w:p>
    <w:p>
      <w:pPr>
        <w:ind w:left="240" w:right="100" w:firstLine="438"/>
        <w:spacing w:after="0" w:line="255" w:lineRule="auto"/>
        <w:rPr>
          <w:sz w:val="20"/>
          <w:szCs w:val="20"/>
          <w:color w:val="auto"/>
        </w:rPr>
      </w:pPr>
      <w:r>
        <w:rPr>
          <w:rFonts w:ascii="Arial" w:cs="Arial" w:eastAsia="Arial" w:hAnsi="Arial"/>
          <w:sz w:val="18"/>
          <w:szCs w:val="18"/>
          <w:color w:val="auto"/>
        </w:rPr>
        <w:t>With increased wealth, client segments ranging from mass affluent to ultra-high-net-worth are demanding more sophisticated, tailored and ultimately diversified investment options, including portfolio diversification away from investors’ home market. This is leading to an investing upgrade whereby the wealth management landscape is being redefined by increasingly modern investment products as well as digital, frictionless infrastructures which are made available for investors all over the globe. We have designed our platform to cater to each of these respective demands and believe we are well positioned for this secular trend.</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as a Gateway to Broader Financial Services</w:t>
      </w:r>
    </w:p>
    <w:p>
      <w:pPr>
        <w:spacing w:after="0" w:line="115" w:lineRule="exact"/>
        <w:rPr>
          <w:sz w:val="20"/>
          <w:szCs w:val="20"/>
          <w:color w:val="auto"/>
        </w:rPr>
      </w:pPr>
    </w:p>
    <w:p>
      <w:pPr>
        <w:ind w:left="240" w:right="100" w:firstLine="438"/>
        <w:spacing w:after="0" w:line="255" w:lineRule="auto"/>
        <w:rPr>
          <w:sz w:val="20"/>
          <w:szCs w:val="20"/>
          <w:color w:val="auto"/>
        </w:rPr>
      </w:pPr>
      <w:r>
        <w:rPr>
          <w:rFonts w:ascii="Arial" w:cs="Arial" w:eastAsia="Arial" w:hAnsi="Arial"/>
          <w:sz w:val="18"/>
          <w:szCs w:val="18"/>
          <w:color w:val="auto"/>
        </w:rPr>
        <w:t>We view investors as increasingly receptive to receiving multiple financial products and services through “one-stop” platforms, with a particular competitive advantage accruing to platforms built upon financial services rather than social media or entertainment-based foundations. We have already witnessed the success of businesses and platforms across the globe built from an investing foundation and enriched by technology and innovation. We believe the element of trust earned in assisting both the generation and protection of wealth is what catalyzes this diversification opportunity which we see as available to us today.</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Competitive Strengths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believe our leadership position and brand coupled with the following competitive strengths puts us at a distinct advantage:</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Premier Investing Experience</w:t>
      </w:r>
    </w:p>
    <w:p>
      <w:pPr>
        <w:spacing w:after="0" w:line="115" w:lineRule="exact"/>
        <w:rPr>
          <w:sz w:val="20"/>
          <w:szCs w:val="20"/>
          <w:color w:val="auto"/>
        </w:rPr>
      </w:pPr>
    </w:p>
    <w:p>
      <w:pPr>
        <w:ind w:left="240" w:right="20" w:firstLine="438"/>
        <w:spacing w:after="0" w:line="262" w:lineRule="auto"/>
        <w:rPr>
          <w:sz w:val="20"/>
          <w:szCs w:val="20"/>
          <w:color w:val="auto"/>
        </w:rPr>
      </w:pPr>
      <w:r>
        <w:rPr>
          <w:rFonts w:ascii="Arial" w:cs="Arial" w:eastAsia="Arial" w:hAnsi="Arial"/>
          <w:sz w:val="18"/>
          <w:szCs w:val="18"/>
          <w:color w:val="auto"/>
        </w:rPr>
        <w:t>Our goal is to make investing easier through technology. Traditional investing processes are paper-intensive and cumbersome while quality market research and information, to this day, remains targeted almost exclusively to experienced or professional investors. We built an investing experience to disrupt tradition, drive simplicity and promote inclusion, as follows:</w:t>
      </w:r>
    </w:p>
    <w:p>
      <w:pPr>
        <w:spacing w:after="0" w:line="87" w:lineRule="exact"/>
        <w:rPr>
          <w:sz w:val="20"/>
          <w:szCs w:val="20"/>
          <w:color w:val="auto"/>
        </w:rPr>
      </w:pPr>
    </w:p>
    <w:p>
      <w:pPr>
        <w:ind w:left="1100" w:right="20" w:hanging="435"/>
        <w:spacing w:after="0" w:line="305"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Flexible Platform</w:t>
      </w:r>
      <w:r>
        <w:rPr>
          <w:rFonts w:ascii="Arial" w:cs="Arial" w:eastAsia="Arial" w:hAnsi="Arial"/>
          <w:sz w:val="17"/>
          <w:szCs w:val="17"/>
          <w:color w:val="auto"/>
        </w:rPr>
        <w:t>. We broaden our addressable market by delivering our platform through iOS, Android, Mac and PC applications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an internet browser. Across all channels we deliver a user interface that is intuitive, uniquely navigable and efficient.</w:t>
      </w:r>
    </w:p>
    <w:p>
      <w:pPr>
        <w:spacing w:after="0" w:line="53" w:lineRule="exact"/>
        <w:rPr>
          <w:rFonts w:ascii="Arial" w:cs="Arial" w:eastAsia="Arial" w:hAnsi="Arial"/>
          <w:sz w:val="17"/>
          <w:szCs w:val="17"/>
          <w:color w:val="auto"/>
        </w:rPr>
      </w:pPr>
    </w:p>
    <w:p>
      <w:pPr>
        <w:ind w:left="1100" w:right="140" w:hanging="435"/>
        <w:spacing w:after="0" w:line="339" w:lineRule="auto"/>
        <w:tabs>
          <w:tab w:leader="none" w:pos="11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Seamless Process. </w:t>
      </w:r>
      <w:r>
        <w:rPr>
          <w:rFonts w:ascii="Arial" w:cs="Arial" w:eastAsia="Arial" w:hAnsi="Arial"/>
          <w:sz w:val="16"/>
          <w:szCs w:val="16"/>
          <w:color w:val="auto"/>
        </w:rPr>
        <w:t>Our processes are fully digitalized and seamless. We enable an online account opening application to be completed in as</w:t>
      </w:r>
      <w:r>
        <w:rPr>
          <w:rFonts w:ascii="Arial" w:cs="Arial" w:eastAsia="Arial" w:hAnsi="Arial"/>
          <w:sz w:val="16"/>
          <w:szCs w:val="16"/>
          <w:i w:val="1"/>
          <w:iCs w:val="1"/>
          <w:color w:val="auto"/>
        </w:rPr>
        <w:t xml:space="preserve"> </w:t>
      </w:r>
      <w:r>
        <w:rPr>
          <w:rFonts w:ascii="Arial" w:cs="Arial" w:eastAsia="Arial" w:hAnsi="Arial"/>
          <w:sz w:val="16"/>
          <w:szCs w:val="16"/>
          <w:color w:val="auto"/>
        </w:rPr>
        <w:t>little as five minutes, simple account transfer, and margin financing which is accessible on-demand across international markets.</w:t>
      </w:r>
    </w:p>
    <w:p>
      <w:pPr>
        <w:spacing w:after="0" w:line="30" w:lineRule="exact"/>
        <w:rPr>
          <w:rFonts w:ascii="Arial" w:cs="Arial" w:eastAsia="Arial" w:hAnsi="Arial"/>
          <w:sz w:val="16"/>
          <w:szCs w:val="16"/>
          <w:color w:val="auto"/>
        </w:rPr>
      </w:pPr>
    </w:p>
    <w:p>
      <w:pPr>
        <w:ind w:left="1100" w:right="100" w:hanging="435"/>
        <w:spacing w:after="0" w:line="257"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Intelligible Market Insights. </w:t>
      </w:r>
      <w:r>
        <w:rPr>
          <w:rFonts w:ascii="Arial" w:cs="Arial" w:eastAsia="Arial" w:hAnsi="Arial"/>
          <w:sz w:val="18"/>
          <w:szCs w:val="18"/>
          <w:color w:val="auto"/>
        </w:rPr>
        <w:t>We offer free or low-cost real-time market data as well as unique features, such as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trading volumes and trading order flows. We aggregate research and news from media partners, contributing authors and our in-house staff. The information and perspectives we subsequently provide to our users are insightful and targeted enough to be useful to our experienced investors, yet articulated clearly enough for first-time investors.</w:t>
      </w:r>
    </w:p>
    <w:p>
      <w:pPr>
        <w:spacing w:after="0" w:line="93" w:lineRule="exact"/>
        <w:rPr>
          <w:rFonts w:ascii="Arial" w:cs="Arial" w:eastAsia="Arial" w:hAnsi="Arial"/>
          <w:sz w:val="18"/>
          <w:szCs w:val="18"/>
          <w:color w:val="auto"/>
        </w:rPr>
      </w:pPr>
    </w:p>
    <w:p>
      <w:pPr>
        <w:ind w:left="1100" w:hanging="435"/>
        <w:spacing w:after="0" w:line="272" w:lineRule="auto"/>
        <w:tabs>
          <w:tab w:leader="none" w:pos="110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Social Connectivity. </w:t>
      </w:r>
      <w:r>
        <w:rPr>
          <w:rFonts w:ascii="Arial" w:cs="Arial" w:eastAsia="Arial" w:hAnsi="Arial"/>
          <w:sz w:val="17"/>
          <w:szCs w:val="17"/>
          <w:color w:val="auto"/>
        </w:rPr>
        <w:t>We help to demystify investing by fostering an ecosystem, connecting users, investors and companies. We invite users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ask questions and exchange, ideas through our social functions while companies can use our interactive tools, including live broadcasts, to communicate directly with investors. To date, approximately 1.5 million users, including 80% of our clients, have participated in our social communities. Importantly, we have witnessed as social connectivity drives increased engagement; in June 2018, on average, a socially active client, defined as a client who traded on our platform and visited our </w:t>
      </w:r>
      <w:r>
        <w:rPr>
          <w:rFonts w:ascii="Arial" w:cs="Arial" w:eastAsia="Arial" w:hAnsi="Arial"/>
          <w:sz w:val="17"/>
          <w:szCs w:val="17"/>
          <w:i w:val="1"/>
          <w:iCs w:val="1"/>
          <w:color w:val="auto"/>
        </w:rPr>
        <w:t>NiuNiu Community</w:t>
      </w:r>
      <w:r>
        <w:rPr>
          <w:rFonts w:ascii="Arial" w:cs="Arial" w:eastAsia="Arial" w:hAnsi="Arial"/>
          <w:sz w:val="17"/>
          <w:szCs w:val="17"/>
          <w:color w:val="auto"/>
        </w:rPr>
        <w:t xml:space="preserve"> at least ten days during the month, traded 50 times, while a non-socially active client traded 23 times.</w:t>
      </w:r>
    </w:p>
    <w:p>
      <w:pPr>
        <w:spacing w:after="0" w:line="175" w:lineRule="exact"/>
        <w:rPr>
          <w:sz w:val="20"/>
          <w:szCs w:val="20"/>
          <w:color w:val="auto"/>
        </w:rPr>
      </w:pPr>
    </w:p>
    <w:p>
      <w:pPr>
        <w:ind w:left="240" w:right="460" w:firstLine="438"/>
        <w:spacing w:after="0" w:line="275" w:lineRule="auto"/>
        <w:rPr>
          <w:sz w:val="20"/>
          <w:szCs w:val="20"/>
          <w:color w:val="auto"/>
        </w:rPr>
      </w:pPr>
      <w:r>
        <w:rPr>
          <w:rFonts w:ascii="Arial" w:cs="Arial" w:eastAsia="Arial" w:hAnsi="Arial"/>
          <w:sz w:val="18"/>
          <w:szCs w:val="18"/>
          <w:color w:val="auto"/>
        </w:rPr>
        <w:t>The merits of our user experience sum to a remarkably inviting platform devoid of jargon or barriers to making informed investing decisions efficiently, and driving a 98% user satisfaction rate according to internal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7"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220"/>
        <w:spacing w:after="0" w:line="262" w:lineRule="auto"/>
        <w:rPr>
          <w:sz w:val="20"/>
          <w:szCs w:val="20"/>
          <w:color w:val="auto"/>
        </w:rPr>
      </w:pPr>
      <w:r>
        <w:rPr>
          <w:rFonts w:ascii="Arial" w:cs="Arial" w:eastAsia="Arial" w:hAnsi="Arial"/>
          <w:sz w:val="18"/>
          <w:szCs w:val="18"/>
          <w:color w:val="auto"/>
        </w:rPr>
        <w:t xml:space="preserve">surveys in the first half of 2018. In June 2018, we had 557,395 MAUs and 154,669 average DAUs, and users spent an average of 26 minutes per day through our </w:t>
      </w:r>
      <w:r>
        <w:rPr>
          <w:rFonts w:ascii="Arial" w:cs="Arial" w:eastAsia="Arial" w:hAnsi="Arial"/>
          <w:sz w:val="18"/>
          <w:szCs w:val="18"/>
          <w:i w:val="1"/>
          <w:iCs w:val="1"/>
          <w:color w:val="auto"/>
        </w:rPr>
        <w:t>Futu NiuNiu</w:t>
      </w:r>
      <w:r>
        <w:rPr>
          <w:rFonts w:ascii="Arial" w:cs="Arial" w:eastAsia="Arial" w:hAnsi="Arial"/>
          <w:sz w:val="18"/>
          <w:szCs w:val="18"/>
          <w:color w:val="auto"/>
        </w:rPr>
        <w:t xml:space="preserve"> platform in our mobile application. By enriching the content of our platform as well as our user experience, we expect these levels of engagement to further grow, driving our ability to deepen client relationships over time.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Closed-Loop, Proprietary Technology Infrastructure</w:t>
      </w:r>
    </w:p>
    <w:p>
      <w:pPr>
        <w:spacing w:after="0" w:line="115" w:lineRule="exact"/>
        <w:rPr>
          <w:sz w:val="20"/>
          <w:szCs w:val="20"/>
          <w:color w:val="auto"/>
        </w:rPr>
      </w:pPr>
    </w:p>
    <w:p>
      <w:pPr>
        <w:jc w:val="both"/>
        <w:ind w:left="240" w:right="20" w:firstLine="438"/>
        <w:spacing w:after="0" w:line="284" w:lineRule="auto"/>
        <w:rPr>
          <w:sz w:val="20"/>
          <w:szCs w:val="20"/>
          <w:color w:val="auto"/>
        </w:rPr>
      </w:pPr>
      <w:r>
        <w:rPr>
          <w:rFonts w:ascii="Arial" w:cs="Arial" w:eastAsia="Arial" w:hAnsi="Arial"/>
          <w:sz w:val="17"/>
          <w:szCs w:val="17"/>
          <w:color w:val="auto"/>
        </w:rPr>
        <w:t>Over eight years we have made significant investments into our technology platform which has evolved into our highly-automated, multi-product, multi-market closed-loop technology infrastructure that drives every function of our business including trading, risk management, clearing, market data, news feeds and social functions. We believe our technology platform stands alone among peers based on the following:</w:t>
      </w:r>
    </w:p>
    <w:p>
      <w:pPr>
        <w:spacing w:after="0" w:line="71" w:lineRule="exact"/>
        <w:rPr>
          <w:sz w:val="20"/>
          <w:szCs w:val="20"/>
          <w:color w:val="auto"/>
        </w:rPr>
      </w:pPr>
    </w:p>
    <w:p>
      <w:pPr>
        <w:ind w:left="1100" w:hanging="435"/>
        <w:spacing w:after="0" w:line="272"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Agility. </w:t>
      </w:r>
      <w:r>
        <w:rPr>
          <w:rFonts w:ascii="Arial" w:cs="Arial" w:eastAsia="Arial" w:hAnsi="Arial"/>
          <w:sz w:val="17"/>
          <w:szCs w:val="17"/>
          <w:color w:val="auto"/>
        </w:rPr>
        <w:t>Our platform was designed for maximum flexibility, recognizing the need to be able to evolve in advance of industry shifts.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a unified system to execute routine operational activities with configurable templates, significantly reducing launch cycles and labor and accelerating response time. We were able to offer online account opening within ten days when the HK SFC guidance was released in July 2018, becoming the first among leading players. New versions of our core back office system are released on a weekly basis and new versions of our retail platform are released at least monthly. For the six months ended June 30, 2018, we released 39 iterations of our application while introducing 942 new products features.</w:t>
      </w:r>
    </w:p>
    <w:p>
      <w:pPr>
        <w:spacing w:after="0" w:line="80" w:lineRule="exact"/>
        <w:rPr>
          <w:rFonts w:ascii="Arial" w:cs="Arial" w:eastAsia="Arial" w:hAnsi="Arial"/>
          <w:sz w:val="17"/>
          <w:szCs w:val="17"/>
          <w:color w:val="auto"/>
        </w:rPr>
      </w:pPr>
    </w:p>
    <w:p>
      <w:pPr>
        <w:ind w:left="1100" w:right="40" w:hanging="435"/>
        <w:spacing w:after="0" w:line="284"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Stability. </w:t>
      </w:r>
      <w:r>
        <w:rPr>
          <w:rFonts w:ascii="Arial" w:cs="Arial" w:eastAsia="Arial" w:hAnsi="Arial"/>
          <w:sz w:val="17"/>
          <w:szCs w:val="17"/>
          <w:color w:val="auto"/>
        </w:rPr>
        <w:t>We invest significantly to ensure platform stability through market or systematic volatility as well as ordinary course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updates. Currently, our infrastructure can process 1,400 trades per second, many multiples of our current average trades per second and well in excess of our highest recorded per day volumes. Our service availability has reached 99.98% in the first half of 2018.</w:t>
      </w:r>
    </w:p>
    <w:p>
      <w:pPr>
        <w:spacing w:after="0" w:line="71" w:lineRule="exact"/>
        <w:rPr>
          <w:rFonts w:ascii="Arial" w:cs="Arial" w:eastAsia="Arial" w:hAnsi="Arial"/>
          <w:sz w:val="17"/>
          <w:szCs w:val="17"/>
          <w:color w:val="auto"/>
        </w:rPr>
      </w:pPr>
    </w:p>
    <w:p>
      <w:pPr>
        <w:ind w:left="1100" w:right="160" w:hanging="435"/>
        <w:spacing w:after="0" w:line="295" w:lineRule="auto"/>
        <w:tabs>
          <w:tab w:leader="none" w:pos="11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Scalability. </w:t>
      </w:r>
      <w:r>
        <w:rPr>
          <w:rFonts w:ascii="Arial" w:cs="Arial" w:eastAsia="Arial" w:hAnsi="Arial"/>
          <w:sz w:val="16"/>
          <w:szCs w:val="16"/>
          <w:color w:val="auto"/>
        </w:rPr>
        <w:t>Our core system components are highly modularized and can be universally applied to future products or replicated for new</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the trading, risk management and data functions of most new markets can be implemented in as little as one month. Furthermore, our platform is highly modularized and the vast majority of our mobile terminal functions are modularized. All of our systems are cloud-based, and we have further built a private cloud that can expand and contract similar to a public cloud. Our system can expand capacity by more than ten times, and requests for system capacity expansion can be completed within ten minutes.</w:t>
      </w:r>
    </w:p>
    <w:p>
      <w:pPr>
        <w:spacing w:after="0" w:line="64" w:lineRule="exact"/>
        <w:rPr>
          <w:rFonts w:ascii="Arial" w:cs="Arial" w:eastAsia="Arial" w:hAnsi="Arial"/>
          <w:sz w:val="16"/>
          <w:szCs w:val="16"/>
          <w:color w:val="auto"/>
        </w:rPr>
      </w:pPr>
    </w:p>
    <w:p>
      <w:pPr>
        <w:jc w:val="both"/>
        <w:ind w:left="1100" w:right="80" w:hanging="435"/>
        <w:spacing w:after="0" w:line="309" w:lineRule="auto"/>
        <w:tabs>
          <w:tab w:leader="none" w:pos="11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Security. </w:t>
      </w:r>
      <w:r>
        <w:rPr>
          <w:rFonts w:ascii="Arial" w:cs="Arial" w:eastAsia="Arial" w:hAnsi="Arial"/>
          <w:sz w:val="16"/>
          <w:szCs w:val="16"/>
          <w:color w:val="auto"/>
        </w:rPr>
        <w:t>We prioritize the security of our systems and user data. For instance, we offer dual identification verification to our clients so that</w:t>
      </w:r>
      <w:r>
        <w:rPr>
          <w:rFonts w:ascii="Arial" w:cs="Arial" w:eastAsia="Arial" w:hAnsi="Arial"/>
          <w:sz w:val="16"/>
          <w:szCs w:val="16"/>
          <w:i w:val="1"/>
          <w:iCs w:val="1"/>
          <w:color w:val="auto"/>
        </w:rPr>
        <w:t xml:space="preserve"> </w:t>
      </w:r>
      <w:r>
        <w:rPr>
          <w:rFonts w:ascii="Arial" w:cs="Arial" w:eastAsia="Arial" w:hAnsi="Arial"/>
          <w:sz w:val="16"/>
          <w:szCs w:val="16"/>
          <w:color w:val="auto"/>
        </w:rPr>
        <w:t>each transaction is properly authorized and recorded. We invented the “core data security safe” technology, which provides continuous user authentication through navigation for our application. In addition, we have obtained an ISO27001 information security certification.</w:t>
      </w:r>
    </w:p>
    <w:p>
      <w:pPr>
        <w:spacing w:after="0" w:line="149" w:lineRule="exact"/>
        <w:rPr>
          <w:sz w:val="20"/>
          <w:szCs w:val="20"/>
          <w:color w:val="auto"/>
        </w:rPr>
      </w:pPr>
    </w:p>
    <w:p>
      <w:pPr>
        <w:ind w:left="240" w:firstLine="438"/>
        <w:spacing w:after="0" w:line="292" w:lineRule="auto"/>
        <w:rPr>
          <w:sz w:val="20"/>
          <w:szCs w:val="20"/>
          <w:color w:val="auto"/>
        </w:rPr>
      </w:pPr>
      <w:r>
        <w:rPr>
          <w:rFonts w:ascii="Arial" w:cs="Arial" w:eastAsia="Arial" w:hAnsi="Arial"/>
          <w:sz w:val="16"/>
          <w:szCs w:val="16"/>
          <w:color w:val="auto"/>
        </w:rPr>
        <w:t>As of December 31, 2017, approximately 60% of our workforce was dedicated to research and development and the majority of them have work experience at leading internet and technology platforms. Mr. Leaf Hua Li, our founder, chairman and chief executive officer, has 18 years of experience in the internet sector. He joined Tencent in 2000 as its 18th employee. He was an early and key research and development participant of Tencent QQ and was the founder of Tencent Video leading the product design and development of Tencent Video. Our core technology team members have extensive experience in massive service infrastructure design. Our chief technology officer, Mr. Ppchen Weihua Chen, was the former head of Tencent QQ’s back-end services and led multiple system restructuring projects of Tencent QQ with hundreds of millions of simultaneous online users.</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60"/>
          </w:cols>
          <w:pgMar w:left="240" w:top="457"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Attractive User and Client Base</w:t>
      </w:r>
    </w:p>
    <w:p>
      <w:pPr>
        <w:spacing w:after="0" w:line="115" w:lineRule="exact"/>
        <w:rPr>
          <w:sz w:val="20"/>
          <w:szCs w:val="20"/>
          <w:color w:val="auto"/>
        </w:rPr>
      </w:pPr>
    </w:p>
    <w:p>
      <w:pPr>
        <w:ind w:left="240" w:right="180" w:firstLine="438"/>
        <w:spacing w:after="0" w:line="275" w:lineRule="auto"/>
        <w:rPr>
          <w:sz w:val="20"/>
          <w:szCs w:val="20"/>
          <w:color w:val="auto"/>
        </w:rPr>
      </w:pPr>
      <w:r>
        <w:rPr>
          <w:rFonts w:ascii="Arial" w:cs="Arial" w:eastAsia="Arial" w:hAnsi="Arial"/>
          <w:sz w:val="18"/>
          <w:szCs w:val="18"/>
          <w:color w:val="auto"/>
        </w:rPr>
        <w:t>We have a young, active and rapidly expanding client base. As our client base grows, our existing clients are also generating wealth and seeking holistic investing services, providing two levers to our growth strategy and magnifying the size of our opportunity:</w:t>
      </w:r>
    </w:p>
    <w:p>
      <w:pPr>
        <w:spacing w:after="0" w:line="76" w:lineRule="exact"/>
        <w:rPr>
          <w:sz w:val="20"/>
          <w:szCs w:val="20"/>
          <w:color w:val="auto"/>
        </w:rPr>
      </w:pPr>
    </w:p>
    <w:p>
      <w:pPr>
        <w:ind w:left="1100" w:right="80" w:hanging="435"/>
        <w:spacing w:after="0" w:line="274" w:lineRule="auto"/>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Young with Meaningful Potential to Generate Wealth</w:t>
      </w:r>
      <w:r>
        <w:rPr>
          <w:rFonts w:ascii="Arial" w:cs="Arial" w:eastAsia="Arial" w:hAnsi="Arial"/>
          <w:sz w:val="17"/>
          <w:szCs w:val="17"/>
          <w:color w:val="auto"/>
        </w:rPr>
        <w:t>: Our clients are, on average, 34 years old and generally high earning. 45.2%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clients work in internet, information technology or finance. Our paying clients rapidly grow their account balances over time. In 2017, the account balance of our average paying client increased by 26.7% from 2016, with an average account balance of HK$554,379 (US$70,958) highlighting the organic tailwinds behind our established client base. We expect our clients, given their youth and trajectory, to continue generating wealth well into the future, growing their account balances with us over time.</w:t>
      </w:r>
    </w:p>
    <w:p>
      <w:pPr>
        <w:spacing w:after="0" w:line="79" w:lineRule="exact"/>
        <w:rPr>
          <w:rFonts w:ascii="Arial" w:cs="Arial" w:eastAsia="Arial" w:hAnsi="Arial"/>
          <w:sz w:val="17"/>
          <w:szCs w:val="17"/>
          <w:color w:val="auto"/>
        </w:rPr>
      </w:pPr>
    </w:p>
    <w:p>
      <w:pPr>
        <w:ind w:left="1100" w:right="20" w:hanging="435"/>
        <w:spacing w:after="0" w:line="255" w:lineRule="auto"/>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Active and Loyal: </w:t>
      </w:r>
      <w:r>
        <w:rPr>
          <w:rFonts w:ascii="Arial" w:cs="Arial" w:eastAsia="Arial" w:hAnsi="Arial"/>
          <w:sz w:val="18"/>
          <w:szCs w:val="18"/>
          <w:color w:val="auto"/>
        </w:rPr>
        <w:t>Our client base is deeply engaged. In June 2018, our average daily user spent 26 minutes on our mobile application per</w:t>
      </w:r>
      <w:r>
        <w:rPr>
          <w:rFonts w:ascii="Arial" w:cs="Arial" w:eastAsia="Arial" w:hAnsi="Arial"/>
          <w:sz w:val="18"/>
          <w:szCs w:val="18"/>
          <w:i w:val="1"/>
          <w:iCs w:val="1"/>
          <w:color w:val="auto"/>
        </w:rPr>
        <w:t xml:space="preserve"> </w:t>
      </w:r>
      <w:r>
        <w:rPr>
          <w:rFonts w:ascii="Arial" w:cs="Arial" w:eastAsia="Arial" w:hAnsi="Arial"/>
          <w:sz w:val="18"/>
          <w:szCs w:val="18"/>
          <w:color w:val="auto"/>
        </w:rPr>
        <w:t>day. Our client base is active; on average, our client who traded in 2017 executed over 180 trades with a total trading volume of HK$7.7 million (US$1.0 million). Finally, our client base is loyal; we retained over 97% of our client base on a quarterly basis in 2017. Each of these metrics improved meaningfully versus the prior year, driving revenues which are recurring-like in nature and creating viability which supports our strategic planning.</w:t>
      </w:r>
    </w:p>
    <w:p>
      <w:pPr>
        <w:spacing w:after="0" w:line="95" w:lineRule="exact"/>
        <w:rPr>
          <w:rFonts w:ascii="Arial" w:cs="Arial" w:eastAsia="Arial" w:hAnsi="Arial"/>
          <w:sz w:val="18"/>
          <w:szCs w:val="18"/>
          <w:color w:val="auto"/>
        </w:rPr>
      </w:pPr>
    </w:p>
    <w:p>
      <w:pPr>
        <w:ind w:left="1100" w:right="180" w:hanging="435"/>
        <w:spacing w:after="0" w:line="272" w:lineRule="auto"/>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Rapidly Growing</w:t>
      </w:r>
      <w:r>
        <w:rPr>
          <w:rFonts w:ascii="Arial" w:cs="Arial" w:eastAsia="Arial" w:hAnsi="Arial"/>
          <w:sz w:val="17"/>
          <w:szCs w:val="17"/>
          <w:color w:val="auto"/>
        </w:rPr>
        <w:t>: Through our</w:t>
      </w:r>
      <w:r>
        <w:rPr>
          <w:rFonts w:ascii="Arial" w:cs="Arial" w:eastAsia="Arial" w:hAnsi="Arial"/>
          <w:sz w:val="17"/>
          <w:szCs w:val="17"/>
          <w:i w:val="1"/>
          <w:iCs w:val="1"/>
          <w:color w:val="auto"/>
        </w:rPr>
        <w:t xml:space="preserve"> Futu NiuNiu </w:t>
      </w:r>
      <w:r>
        <w:rPr>
          <w:rFonts w:ascii="Arial" w:cs="Arial" w:eastAsia="Arial" w:hAnsi="Arial"/>
          <w:sz w:val="17"/>
          <w:szCs w:val="17"/>
          <w:color w:val="auto"/>
        </w:rPr>
        <w:t>application we had 4.8 million users, of which over 373,000 were registered clients and over</w:t>
      </w:r>
      <w:r>
        <w:rPr>
          <w:rFonts w:ascii="Arial" w:cs="Arial" w:eastAsia="Arial" w:hAnsi="Arial"/>
          <w:sz w:val="17"/>
          <w:szCs w:val="17"/>
          <w:i w:val="1"/>
          <w:iCs w:val="1"/>
          <w:color w:val="auto"/>
        </w:rPr>
        <w:t xml:space="preserve"> </w:t>
      </w:r>
      <w:r>
        <w:rPr>
          <w:rFonts w:ascii="Arial" w:cs="Arial" w:eastAsia="Arial" w:hAnsi="Arial"/>
          <w:sz w:val="17"/>
          <w:szCs w:val="17"/>
          <w:color w:val="auto"/>
        </w:rPr>
        <w:t>109,000 were paying clients as of June 30, 2018. As of December 31, 2017, the numbers of our users, registered clients and paying clients grew 22.3%, 93.2% and 125.8%, respectively, as compared to the same as of December 31, 2016, demonstrating our ability to retain and attract users and clients as well as to convert our users to clients. We expect the strong growth of our client base to continue through conversion of our user base and our well-established user and client acquisition channels, including organic growth, direct marketing through digital channels, our corporate services and offline advertising.</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Operating Leverage</w:t>
      </w:r>
    </w:p>
    <w:p>
      <w:pPr>
        <w:spacing w:after="0" w:line="115" w:lineRule="exact"/>
        <w:rPr>
          <w:sz w:val="20"/>
          <w:szCs w:val="20"/>
          <w:color w:val="auto"/>
        </w:rPr>
      </w:pPr>
    </w:p>
    <w:p>
      <w:pPr>
        <w:ind w:left="240" w:right="80" w:firstLine="438"/>
        <w:spacing w:after="0" w:line="275" w:lineRule="auto"/>
        <w:rPr>
          <w:sz w:val="20"/>
          <w:szCs w:val="20"/>
          <w:color w:val="auto"/>
        </w:rPr>
      </w:pPr>
      <w:r>
        <w:rPr>
          <w:rFonts w:ascii="Arial" w:cs="Arial" w:eastAsia="Arial" w:hAnsi="Arial"/>
          <w:sz w:val="18"/>
          <w:szCs w:val="18"/>
          <w:color w:val="auto"/>
        </w:rPr>
        <w:t>Our proprietary technology infrastructure and unit economics have positioned us to rapidly expand margins and strengthen our profitability as we continue to grow:</w:t>
      </w:r>
    </w:p>
    <w:p>
      <w:pPr>
        <w:spacing w:after="0" w:line="76" w:lineRule="exact"/>
        <w:rPr>
          <w:sz w:val="20"/>
          <w:szCs w:val="20"/>
          <w:color w:val="auto"/>
        </w:rPr>
      </w:pPr>
    </w:p>
    <w:p>
      <w:pPr>
        <w:ind w:left="1100" w:right="160" w:hanging="435"/>
        <w:spacing w:after="0" w:line="257"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Proprietary Core Technology Infrastructure</w:t>
      </w:r>
      <w:r>
        <w:rPr>
          <w:rFonts w:ascii="Arial" w:cs="Arial" w:eastAsia="Arial" w:hAnsi="Arial"/>
          <w:sz w:val="18"/>
          <w:szCs w:val="18"/>
          <w:color w:val="auto"/>
        </w:rPr>
        <w:t>: We have invested significantly to develop our core technology infrastructure. Our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and modularized technology infrastructure allows us to add new products and enter new markets with moderate investment or fixed costs. Our research and development expenses as a percentage of our revenues dropped to 30.7% in 2017 from 70.8% in 2016, illustrating a driving factor behind our expanding margins.</w:t>
      </w:r>
    </w:p>
    <w:p>
      <w:pPr>
        <w:spacing w:after="0" w:line="93" w:lineRule="exact"/>
        <w:rPr>
          <w:rFonts w:ascii="Arial" w:cs="Arial" w:eastAsia="Arial" w:hAnsi="Arial"/>
          <w:sz w:val="18"/>
          <w:szCs w:val="18"/>
          <w:color w:val="auto"/>
        </w:rPr>
      </w:pPr>
    </w:p>
    <w:p>
      <w:pPr>
        <w:ind w:left="1100" w:right="80" w:hanging="435"/>
        <w:spacing w:after="0" w:line="262"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Unit Economics</w:t>
      </w:r>
      <w:r>
        <w:rPr>
          <w:rFonts w:ascii="Arial" w:cs="Arial" w:eastAsia="Arial" w:hAnsi="Arial"/>
          <w:sz w:val="18"/>
          <w:szCs w:val="18"/>
          <w:color w:val="auto"/>
        </w:rPr>
        <w:t>: The demographics and depth of engagement of our client base translate to high lifetime values. When matched against our</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 client acquisition, a function of organic growth, digital outreach and our corporate services, we deliver a payback period of less than six months since the beginning of 2017.</w:t>
      </w:r>
    </w:p>
    <w:p>
      <w:pPr>
        <w:spacing w:after="0" w:line="181"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Our operating leverage is magnified by our high growth. We anticipate meaningfully expanding our operating margins over time as we continue to grow, strengthening our lifetime values by adding higher-margin, value-added services and controlling our acquisition and operating costs through targeted marketing and other efficiencies.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80"/>
          </w:cols>
          <w:pgMar w:left="240" w:top="457"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Growth Strategies</w:t>
      </w:r>
    </w:p>
    <w:p>
      <w:pPr>
        <w:spacing w:after="0" w:line="119" w:lineRule="exact"/>
        <w:rPr>
          <w:sz w:val="20"/>
          <w:szCs w:val="20"/>
          <w:color w:val="auto"/>
        </w:rPr>
      </w:pPr>
    </w:p>
    <w:p>
      <w:pPr>
        <w:ind w:left="240" w:right="320" w:firstLine="438"/>
        <w:spacing w:after="0" w:line="275" w:lineRule="auto"/>
        <w:rPr>
          <w:sz w:val="20"/>
          <w:szCs w:val="20"/>
          <w:color w:val="auto"/>
        </w:rPr>
      </w:pPr>
      <w:r>
        <w:rPr>
          <w:rFonts w:ascii="Arial" w:cs="Arial" w:eastAsia="Arial" w:hAnsi="Arial"/>
          <w:sz w:val="18"/>
          <w:szCs w:val="18"/>
          <w:color w:val="auto"/>
        </w:rPr>
        <w:t>Our business model, competitive strengths and licensing qualifications provide us multiple avenues of growth. We will continue to pursue our mission to re-define investing and build a digital financial institution through the following key strategies: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Grow and Monetize Our Client Base</w:t>
      </w:r>
    </w:p>
    <w:p>
      <w:pPr>
        <w:spacing w:after="0" w:line="129" w:lineRule="exact"/>
        <w:rPr>
          <w:sz w:val="20"/>
          <w:szCs w:val="20"/>
          <w:color w:val="auto"/>
        </w:rPr>
      </w:pPr>
    </w:p>
    <w:p>
      <w:pPr>
        <w:ind w:left="1100" w:right="260" w:hanging="435"/>
        <w:spacing w:after="0" w:line="262"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Grow our Client Base</w:t>
      </w:r>
      <w:r>
        <w:rPr>
          <w:rFonts w:ascii="Arial" w:cs="Arial" w:eastAsia="Arial" w:hAnsi="Arial"/>
          <w:sz w:val="18"/>
          <w:szCs w:val="18"/>
          <w:color w:val="auto"/>
        </w:rPr>
        <w:t>: While we have quickly achieved a leading footprint and brand, the magnitude of the China and Hong Kong</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is enormous. Through targeted marketing, continued investments in our brand and expansion of our enterprise segment, we will work aggressively to build our client base.</w:t>
      </w:r>
    </w:p>
    <w:p>
      <w:pPr>
        <w:spacing w:after="0" w:line="87" w:lineRule="exact"/>
        <w:rPr>
          <w:rFonts w:ascii="Arial" w:cs="Arial" w:eastAsia="Arial" w:hAnsi="Arial"/>
          <w:sz w:val="18"/>
          <w:szCs w:val="18"/>
          <w:color w:val="auto"/>
        </w:rPr>
      </w:pPr>
    </w:p>
    <w:p>
      <w:pPr>
        <w:ind w:left="1100" w:right="240" w:hanging="435"/>
        <w:spacing w:after="0" w:line="262"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Expand our Wallet Share</w:t>
      </w:r>
      <w:r>
        <w:rPr>
          <w:rFonts w:ascii="Arial" w:cs="Arial" w:eastAsia="Arial" w:hAnsi="Arial"/>
          <w:sz w:val="18"/>
          <w:szCs w:val="18"/>
          <w:color w:val="auto"/>
        </w:rPr>
        <w:t>: We are working to expand our share of our clients’ trading volumes and broader investing needs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excellence. By using every user and client touchpoint as an opportunity to demonstrate and reinforce our value proposition, we believe we can draw increasing allocations of trading volumes from our clients.</w:t>
      </w:r>
    </w:p>
    <w:p>
      <w:pPr>
        <w:spacing w:after="0" w:line="87" w:lineRule="exact"/>
        <w:rPr>
          <w:rFonts w:ascii="Arial" w:cs="Arial" w:eastAsia="Arial" w:hAnsi="Arial"/>
          <w:sz w:val="18"/>
          <w:szCs w:val="18"/>
          <w:color w:val="auto"/>
        </w:rPr>
      </w:pPr>
    </w:p>
    <w:p>
      <w:pPr>
        <w:ind w:left="1100" w:right="80" w:hanging="435"/>
        <w:spacing w:after="0" w:line="262"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Monetize our User Base</w:t>
      </w:r>
      <w:r>
        <w:rPr>
          <w:rFonts w:ascii="Arial" w:cs="Arial" w:eastAsia="Arial" w:hAnsi="Arial"/>
          <w:sz w:val="18"/>
          <w:szCs w:val="18"/>
          <w:color w:val="auto"/>
        </w:rPr>
        <w:t>: We intend to pursue avenues to improve conversion of our user base into clients and believe that data analytics is</w:t>
      </w:r>
      <w:r>
        <w:rPr>
          <w:rFonts w:ascii="Arial" w:cs="Arial" w:eastAsia="Arial" w:hAnsi="Arial"/>
          <w:sz w:val="18"/>
          <w:szCs w:val="18"/>
          <w:i w:val="1"/>
          <w:iCs w:val="1"/>
          <w:color w:val="auto"/>
        </w:rPr>
        <w:t xml:space="preserve"> </w:t>
      </w:r>
      <w:r>
        <w:rPr>
          <w:rFonts w:ascii="Arial" w:cs="Arial" w:eastAsia="Arial" w:hAnsi="Arial"/>
          <w:sz w:val="18"/>
          <w:szCs w:val="18"/>
          <w:color w:val="auto"/>
        </w:rPr>
        <w:t>an important tool to accomplish this goal. Specifically, each point of user engagement provides insight into the user’s investment objectives and risk tolerance, which we use to tailor an inviting investing experience.</w:t>
      </w:r>
    </w:p>
    <w:p>
      <w:pPr>
        <w:spacing w:after="0" w:line="87" w:lineRule="exact"/>
        <w:rPr>
          <w:rFonts w:ascii="Arial" w:cs="Arial" w:eastAsia="Arial" w:hAnsi="Arial"/>
          <w:sz w:val="18"/>
          <w:szCs w:val="18"/>
          <w:color w:val="auto"/>
        </w:rPr>
      </w:pPr>
    </w:p>
    <w:p>
      <w:pPr>
        <w:ind w:left="1100" w:right="180" w:hanging="435"/>
        <w:spacing w:after="0" w:line="255"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International Expansion</w:t>
      </w:r>
      <w:r>
        <w:rPr>
          <w:rFonts w:ascii="Arial" w:cs="Arial" w:eastAsia="Arial" w:hAnsi="Arial"/>
          <w:sz w:val="18"/>
          <w:szCs w:val="18"/>
          <w:color w:val="auto"/>
        </w:rPr>
        <w:t>: We intend to expand our physical presence, improving our ability to offer investing services in overseas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but also nurturing an international client base of both Chinese and non-Chinese investors. For instance, in the first quarter of 2018, we opened our first office in the United States and intend to formally launch Futu MooMoo®, our trading platform designed specifically for U.S. investors, in the fourth quarter of 2018. Upon its launch, we will have adapted our technology infrastructure from Hong Kong to the U.S., reinforcing our ability to efficiently expand into new markets.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Broaden Our Core Service Offerings</w:t>
      </w:r>
    </w:p>
    <w:p>
      <w:pPr>
        <w:spacing w:after="0" w:line="129" w:lineRule="exact"/>
        <w:rPr>
          <w:sz w:val="20"/>
          <w:szCs w:val="20"/>
          <w:color w:val="auto"/>
        </w:rPr>
      </w:pPr>
    </w:p>
    <w:p>
      <w:pPr>
        <w:ind w:left="1100" w:hanging="435"/>
        <w:spacing w:after="0" w:line="257"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Expand our Core Product and Service Portfolio</w:t>
      </w:r>
      <w:r>
        <w:rPr>
          <w:rFonts w:ascii="Arial" w:cs="Arial" w:eastAsia="Arial" w:hAnsi="Arial"/>
          <w:sz w:val="18"/>
          <w:szCs w:val="18"/>
          <w:color w:val="auto"/>
        </w:rPr>
        <w:t>: We will continue to pursue ways to more broadly support our retail investors and maximize</w:t>
      </w:r>
      <w:r>
        <w:rPr>
          <w:rFonts w:ascii="Arial" w:cs="Arial" w:eastAsia="Arial" w:hAnsi="Arial"/>
          <w:sz w:val="18"/>
          <w:szCs w:val="18"/>
          <w:i w:val="1"/>
          <w:iCs w:val="1"/>
          <w:color w:val="auto"/>
        </w:rPr>
        <w:t xml:space="preserve"> </w:t>
      </w:r>
      <w:r>
        <w:rPr>
          <w:rFonts w:ascii="Arial" w:cs="Arial" w:eastAsia="Arial" w:hAnsi="Arial"/>
          <w:sz w:val="18"/>
          <w:szCs w:val="18"/>
          <w:color w:val="auto"/>
        </w:rPr>
        <w:t>client wallet share, in particular by selectively adding new service offerings to our existing comprehensive portfolio. Our success in launching our margin financing service makes us confident that we will be able to develop and effectively cross-sell additional products and services such as fixed income funds and futures.</w:t>
      </w:r>
    </w:p>
    <w:p>
      <w:pPr>
        <w:spacing w:after="0" w:line="93" w:lineRule="exact"/>
        <w:rPr>
          <w:rFonts w:ascii="Arial" w:cs="Arial" w:eastAsia="Arial" w:hAnsi="Arial"/>
          <w:sz w:val="18"/>
          <w:szCs w:val="18"/>
          <w:color w:val="auto"/>
        </w:rPr>
      </w:pPr>
    </w:p>
    <w:p>
      <w:pPr>
        <w:ind w:left="1100" w:right="80" w:hanging="435"/>
        <w:spacing w:after="0" w:line="275"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Add Trading Markets</w:t>
      </w:r>
      <w:r>
        <w:rPr>
          <w:rFonts w:ascii="Arial" w:cs="Arial" w:eastAsia="Arial" w:hAnsi="Arial"/>
          <w:sz w:val="18"/>
          <w:szCs w:val="18"/>
          <w:color w:val="auto"/>
        </w:rPr>
        <w:t>: Our goal is to ultimately provide our users and clients with access to every trading market in the world. We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access to three markets, and will seek to broaden in terms of geographies.</w:t>
      </w:r>
    </w:p>
    <w:p>
      <w:pPr>
        <w:spacing w:after="0" w:line="76" w:lineRule="exact"/>
        <w:rPr>
          <w:rFonts w:ascii="Arial" w:cs="Arial" w:eastAsia="Arial" w:hAnsi="Arial"/>
          <w:sz w:val="18"/>
          <w:szCs w:val="18"/>
          <w:color w:val="auto"/>
        </w:rPr>
      </w:pPr>
    </w:p>
    <w:p>
      <w:pPr>
        <w:ind w:left="1100" w:right="60" w:hanging="435"/>
        <w:spacing w:after="0" w:line="300" w:lineRule="auto"/>
        <w:tabs>
          <w:tab w:leader="none" w:pos="110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Drive our Enterprise Business</w:t>
      </w:r>
      <w:r>
        <w:rPr>
          <w:rFonts w:ascii="Arial" w:cs="Arial" w:eastAsia="Arial" w:hAnsi="Arial"/>
          <w:sz w:val="16"/>
          <w:szCs w:val="16"/>
          <w:color w:val="auto"/>
        </w:rPr>
        <w:t>: We will continue to invest in our enterprise business, as a source of both revenue diversification as well as a</w:t>
      </w:r>
      <w:r>
        <w:rPr>
          <w:rFonts w:ascii="Arial" w:cs="Arial" w:eastAsia="Arial" w:hAnsi="Arial"/>
          <w:sz w:val="16"/>
          <w:szCs w:val="16"/>
          <w:i w:val="1"/>
          <w:iCs w:val="1"/>
          <w:color w:val="auto"/>
        </w:rPr>
        <w:t xml:space="preserve"> </w:t>
      </w:r>
      <w:r>
        <w:rPr>
          <w:rFonts w:ascii="Arial" w:cs="Arial" w:eastAsia="Arial" w:hAnsi="Arial"/>
          <w:sz w:val="16"/>
          <w:szCs w:val="16"/>
          <w:color w:val="auto"/>
        </w:rPr>
        <w:t>retail investor acquisition channel. In particular we believe our ESOP management service, with a small but growing client base that includes Tencent and Yixin, has the potential to meaningfully impact our growth trajectory while we continue to build out our dedicated team and resources. Meanwhile, we are exploring opportunities to export our technology to enterprise clients on a modular basis.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Broaden Our Financial Services Footprint</w:t>
      </w:r>
    </w:p>
    <w:p>
      <w:pPr>
        <w:spacing w:after="0" w:line="129" w:lineRule="exact"/>
        <w:rPr>
          <w:sz w:val="20"/>
          <w:szCs w:val="20"/>
          <w:color w:val="auto"/>
        </w:rPr>
      </w:pPr>
    </w:p>
    <w:p>
      <w:pPr>
        <w:ind w:left="1100" w:right="100" w:hanging="435"/>
        <w:spacing w:after="0" w:line="262" w:lineRule="auto"/>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Wealth Management</w:t>
      </w:r>
      <w:r>
        <w:rPr>
          <w:rFonts w:ascii="Arial" w:cs="Arial" w:eastAsia="Arial" w:hAnsi="Arial"/>
          <w:sz w:val="18"/>
          <w:szCs w:val="18"/>
          <w:color w:val="auto"/>
        </w:rPr>
        <w:t>: We intend to expand our investing footprint to include a broader suite of wealth management products and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advice. In particular, we believe the user data we collect through our daily business operations as well as the vibrant interactive community we have built on our platform will allow us to provide highly tailored products and services.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240" w:top="457"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100" w:right="540" w:hanging="435"/>
        <w:spacing w:after="0" w:line="275" w:lineRule="auto"/>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Digital Banking</w:t>
      </w:r>
      <w:r>
        <w:rPr>
          <w:rFonts w:ascii="Arial" w:cs="Arial" w:eastAsia="Arial" w:hAnsi="Arial"/>
          <w:sz w:val="18"/>
          <w:szCs w:val="18"/>
          <w:color w:val="auto"/>
        </w:rPr>
        <w:t>: We are applying for a digital banking license in Hong Kong. We believe banking products are a natural extension of</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in the spirit of building and preserving wealth.</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 in Our Platform</w:t>
      </w:r>
    </w:p>
    <w:p>
      <w:pPr>
        <w:spacing w:after="0" w:line="129" w:lineRule="exact"/>
        <w:rPr>
          <w:sz w:val="20"/>
          <w:szCs w:val="20"/>
          <w:color w:val="auto"/>
        </w:rPr>
      </w:pPr>
    </w:p>
    <w:p>
      <w:pPr>
        <w:ind w:left="1100" w:hanging="435"/>
        <w:spacing w:after="0" w:line="257" w:lineRule="auto"/>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Invest in Technology</w:t>
      </w:r>
      <w:r>
        <w:rPr>
          <w:rFonts w:ascii="Arial" w:cs="Arial" w:eastAsia="Arial" w:hAnsi="Arial"/>
          <w:sz w:val="18"/>
          <w:szCs w:val="18"/>
          <w:color w:val="auto"/>
        </w:rPr>
        <w:t>: We will continue to invest in our technology, both to maintain one of the primary sources of our competitive advantage</w:t>
      </w:r>
      <w:r>
        <w:rPr>
          <w:rFonts w:ascii="Arial" w:cs="Arial" w:eastAsia="Arial" w:hAnsi="Arial"/>
          <w:sz w:val="18"/>
          <w:szCs w:val="18"/>
          <w:i w:val="1"/>
          <w:iCs w:val="1"/>
          <w:color w:val="auto"/>
        </w:rPr>
        <w:t xml:space="preserve"> </w:t>
      </w:r>
      <w:r>
        <w:rPr>
          <w:rFonts w:ascii="Arial" w:cs="Arial" w:eastAsia="Arial" w:hAnsi="Arial"/>
          <w:sz w:val="18"/>
          <w:szCs w:val="18"/>
          <w:color w:val="auto"/>
        </w:rPr>
        <w:t>and also to facilitate the execution of our growth strategies. For instance, we are currently investing significantly to integrate new features and functions into our platform, launch a fully-digital United States offering, develop a digital banking infrastructure and enhance our ability to convert user and client data into actionable insights.</w:t>
      </w:r>
    </w:p>
    <w:p>
      <w:pPr>
        <w:spacing w:after="0" w:line="93" w:lineRule="exact"/>
        <w:rPr>
          <w:rFonts w:ascii="Arial" w:cs="Arial" w:eastAsia="Arial" w:hAnsi="Arial"/>
          <w:sz w:val="18"/>
          <w:szCs w:val="18"/>
          <w:color w:val="auto"/>
        </w:rPr>
      </w:pPr>
    </w:p>
    <w:p>
      <w:pPr>
        <w:ind w:left="1100" w:hanging="435"/>
        <w:spacing w:after="0" w:line="262" w:lineRule="auto"/>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Invest in People</w:t>
      </w:r>
      <w:r>
        <w:rPr>
          <w:rFonts w:ascii="Arial" w:cs="Arial" w:eastAsia="Arial" w:hAnsi="Arial"/>
          <w:sz w:val="18"/>
          <w:szCs w:val="18"/>
          <w:color w:val="auto"/>
        </w:rPr>
        <w:t>: People are the cornerstone of our business, and we will continue to ensure we have strong and experienced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managers, developers, and marketing and supporting staff. In particular, we are investing to grow our enterprise sales team, our product team and our research and development function.</w:t>
      </w:r>
    </w:p>
    <w:p>
      <w:pPr>
        <w:spacing w:after="0" w:line="87" w:lineRule="exact"/>
        <w:rPr>
          <w:rFonts w:ascii="Arial" w:cs="Arial" w:eastAsia="Arial" w:hAnsi="Arial"/>
          <w:sz w:val="18"/>
          <w:szCs w:val="18"/>
          <w:color w:val="auto"/>
        </w:rPr>
      </w:pPr>
    </w:p>
    <w:p>
      <w:pPr>
        <w:ind w:left="1100" w:right="40" w:hanging="435"/>
        <w:spacing w:after="0" w:line="284" w:lineRule="auto"/>
        <w:tabs>
          <w:tab w:leader="none" w:pos="11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Acquisitions and Investments</w:t>
      </w:r>
      <w:r>
        <w:rPr>
          <w:rFonts w:ascii="Arial" w:cs="Arial" w:eastAsia="Arial" w:hAnsi="Arial"/>
          <w:sz w:val="17"/>
          <w:szCs w:val="17"/>
          <w:color w:val="auto"/>
        </w:rPr>
        <w:t>: We intend to selectively pursue acquisitions or investments where additive to our platform or capabilities.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While our current default strategy is to develop core capabilities organically, in large part due to the importance of seamless integration with our technology systems, we will nonetheless explore inorganic means to extend our leadership position.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Milestone</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have achieved the following since our inception in 2011:</w:t>
      </w:r>
    </w:p>
    <w:p>
      <w:pPr>
        <w:spacing w:after="0" w:line="129" w:lineRule="exact"/>
        <w:rPr>
          <w:sz w:val="20"/>
          <w:szCs w:val="20"/>
          <w:color w:val="auto"/>
        </w:rPr>
      </w:pPr>
    </w:p>
    <w:p>
      <w:pPr>
        <w:ind w:left="1100" w:right="100" w:hanging="435"/>
        <w:spacing w:after="0" w:line="275"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December 2011: Launched our proprietary Hong Kong securities trading system supporting the execution of securities trades within 0.0037 seconds</w:t>
      </w:r>
    </w:p>
    <w:p>
      <w:pPr>
        <w:spacing w:after="0" w:line="76" w:lineRule="exact"/>
        <w:rPr>
          <w:rFonts w:ascii="Arial" w:cs="Arial" w:eastAsia="Arial" w:hAnsi="Arial"/>
          <w:sz w:val="18"/>
          <w:szCs w:val="18"/>
          <w:color w:val="auto"/>
        </w:rPr>
      </w:pPr>
    </w:p>
    <w:p>
      <w:pPr>
        <w:ind w:left="1100" w:right="120" w:hanging="435"/>
        <w:spacing w:after="0" w:line="275"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October 2012: Obtained a Type 1 License for dealing in securities from the HK SFC and commenced the operation of our online brokerage business</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September 2014: Integrated with the U.S. capital markets and began offering real-time stock quotes on major U.S. exchanges</w:t>
      </w:r>
    </w:p>
    <w:p>
      <w:pPr>
        <w:spacing w:after="0" w:line="128" w:lineRule="exact"/>
        <w:rPr>
          <w:rFonts w:ascii="Arial" w:cs="Arial" w:eastAsia="Arial" w:hAnsi="Arial"/>
          <w:sz w:val="18"/>
          <w:szCs w:val="18"/>
          <w:color w:val="auto"/>
        </w:rPr>
      </w:pPr>
    </w:p>
    <w:p>
      <w:pPr>
        <w:ind w:left="1100" w:hanging="435"/>
        <w:spacing w:after="0" w:line="275"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October 2016: Became one of the first brokerage companies globally to offer free real-time Level II Hong Kong stock quotes to China-based clients, according to Oliver Wyman</w:t>
      </w:r>
    </w:p>
    <w:p>
      <w:pPr>
        <w:spacing w:after="0" w:line="76" w:lineRule="exact"/>
        <w:rPr>
          <w:rFonts w:ascii="Arial" w:cs="Arial" w:eastAsia="Arial" w:hAnsi="Arial"/>
          <w:sz w:val="18"/>
          <w:szCs w:val="18"/>
          <w:color w:val="auto"/>
        </w:rPr>
      </w:pPr>
    </w:p>
    <w:p>
      <w:pPr>
        <w:ind w:left="1100" w:right="240" w:hanging="435"/>
        <w:spacing w:after="0" w:line="275"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January 2018: Registered in the U.S. as the broker-dealer and become a FINRA member in the U.S. and subsequently opened an office in Palo Alto, California</w:t>
      </w:r>
    </w:p>
    <w:p>
      <w:pPr>
        <w:spacing w:after="0" w:line="76" w:lineRule="exact"/>
        <w:rPr>
          <w:rFonts w:ascii="Arial" w:cs="Arial" w:eastAsia="Arial" w:hAnsi="Arial"/>
          <w:sz w:val="18"/>
          <w:szCs w:val="18"/>
          <w:color w:val="auto"/>
        </w:rPr>
      </w:pPr>
    </w:p>
    <w:p>
      <w:pPr>
        <w:ind w:left="1100" w:right="520" w:hanging="435"/>
        <w:spacing w:after="0" w:line="275"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July 2018: Became the first licensed brokerage company to provide completely online-based trading account opening services among leading players in Hong Kong</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Platform</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115" w:lineRule="exact"/>
        <w:rPr>
          <w:sz w:val="20"/>
          <w:szCs w:val="20"/>
          <w:color w:val="auto"/>
        </w:rPr>
      </w:pPr>
    </w:p>
    <w:p>
      <w:pPr>
        <w:ind w:left="240" w:right="40" w:firstLine="438"/>
        <w:spacing w:after="0" w:line="255" w:lineRule="auto"/>
        <w:rPr>
          <w:sz w:val="20"/>
          <w:szCs w:val="20"/>
          <w:color w:val="auto"/>
        </w:rPr>
      </w:pPr>
      <w:r>
        <w:rPr>
          <w:rFonts w:ascii="Arial" w:cs="Arial" w:eastAsia="Arial" w:hAnsi="Arial"/>
          <w:sz w:val="18"/>
          <w:szCs w:val="18"/>
          <w:color w:val="auto"/>
        </w:rPr>
        <w:t>We operate a leading technology-driven online brokerage services platform in Hong Kong. Our platform allows investors to trade securities in various markets and surrounds this core trading functionality with a variety of products and services designed to facilitate the investing process. Specifically, our platform allows investors to execute equity and equity-related trades quickly and securely with access to margin financing. Around this core functionality, our platform provides real-time stock quotes, market data and news as well as an interactive investor community where our users and clients can exchange investment views and ideas.</w:t>
      </w:r>
    </w:p>
    <w:p>
      <w:pPr>
        <w:spacing w:after="0" w:line="189" w:lineRule="exact"/>
        <w:rPr>
          <w:sz w:val="20"/>
          <w:szCs w:val="20"/>
          <w:color w:val="auto"/>
        </w:rPr>
      </w:pPr>
    </w:p>
    <w:p>
      <w:pPr>
        <w:ind w:left="240" w:right="100" w:firstLine="438"/>
        <w:spacing w:after="0" w:line="275" w:lineRule="auto"/>
        <w:rPr>
          <w:sz w:val="20"/>
          <w:szCs w:val="20"/>
          <w:color w:val="auto"/>
        </w:rPr>
      </w:pPr>
      <w:r>
        <w:rPr>
          <w:rFonts w:ascii="Arial" w:cs="Arial" w:eastAsia="Arial" w:hAnsi="Arial"/>
          <w:sz w:val="18"/>
          <w:szCs w:val="18"/>
          <w:color w:val="auto"/>
        </w:rPr>
        <w:t xml:space="preserve">Our platform is accessible digitally through our </w:t>
      </w:r>
      <w:r>
        <w:rPr>
          <w:rFonts w:ascii="Arial" w:cs="Arial" w:eastAsia="Arial" w:hAnsi="Arial"/>
          <w:sz w:val="18"/>
          <w:szCs w:val="18"/>
          <w:i w:val="1"/>
          <w:iCs w:val="1"/>
          <w:color w:val="auto"/>
        </w:rPr>
        <w:t>Futu NiuNiu</w:t>
      </w:r>
      <w:r>
        <w:rPr>
          <w:rFonts w:ascii="Arial" w:cs="Arial" w:eastAsia="Arial" w:hAnsi="Arial"/>
          <w:sz w:val="18"/>
          <w:szCs w:val="18"/>
          <w:color w:val="auto"/>
        </w:rPr>
        <w:t xml:space="preserve"> mobile app</w:t>
      </w:r>
      <w:r>
        <w:rPr>
          <w:rFonts w:ascii="Arial" w:cs="Arial" w:eastAsia="Arial" w:hAnsi="Arial"/>
          <w:sz w:val="18"/>
          <w:szCs w:val="18"/>
          <w:i w:val="1"/>
          <w:iCs w:val="1"/>
          <w:color w:val="auto"/>
        </w:rPr>
        <w:t>.</w:t>
      </w:r>
      <w:r>
        <w:rPr>
          <w:rFonts w:ascii="Arial" w:cs="Arial" w:eastAsia="Arial" w:hAnsi="Arial"/>
          <w:sz w:val="18"/>
          <w:szCs w:val="18"/>
          <w:color w:val="auto"/>
        </w:rPr>
        <w:t xml:space="preserve"> We also offer several tailored desktop applications and websites as well as our Futu ESOP Management System.</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457"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60" w:firstLine="438"/>
        <w:spacing w:after="0" w:line="257" w:lineRule="auto"/>
        <w:rPr>
          <w:sz w:val="20"/>
          <w:szCs w:val="20"/>
          <w:color w:val="auto"/>
        </w:rPr>
      </w:pPr>
      <w:r>
        <w:rPr>
          <w:rFonts w:ascii="Arial" w:cs="Arial" w:eastAsia="Arial" w:hAnsi="Arial"/>
          <w:sz w:val="18"/>
          <w:szCs w:val="18"/>
          <w:color w:val="auto"/>
        </w:rPr>
        <w:t>We serve both users and clients. Our user base has grown from 3.2 million as of December 31, 2016 to 3.9 million as of December 31, 2017 and further to over 4.8 million as of June 30, 2018. Our MAUs and average DAUs reached 304,660 and 111,109 in December 2017, respectively, representing an increase of 73.7% and 143.0% from December 2016. Our user base is a critical source of data for our platform, a pipeline for growing our client base and the foundation of our social community.</w:t>
      </w:r>
    </w:p>
    <w:p>
      <w:pPr>
        <w:spacing w:after="0" w:line="188" w:lineRule="exact"/>
        <w:rPr>
          <w:sz w:val="20"/>
          <w:szCs w:val="20"/>
          <w:color w:val="auto"/>
        </w:rPr>
      </w:pPr>
    </w:p>
    <w:p>
      <w:pPr>
        <w:jc w:val="both"/>
        <w:ind w:left="240" w:right="40" w:firstLine="438"/>
        <w:spacing w:after="0" w:line="262" w:lineRule="auto"/>
        <w:rPr>
          <w:sz w:val="20"/>
          <w:szCs w:val="20"/>
          <w:color w:val="auto"/>
        </w:rPr>
      </w:pPr>
      <w:r>
        <w:rPr>
          <w:rFonts w:ascii="Arial" w:cs="Arial" w:eastAsia="Arial" w:hAnsi="Arial"/>
          <w:sz w:val="18"/>
          <w:szCs w:val="18"/>
          <w:color w:val="auto"/>
        </w:rPr>
        <w:t>We define “registered clients” or “clients” as investors who open one or more trading accounts, and “paying clients” as clients with assets in their trading accounts. Our client base has grown rapidly from 148,320 as of December 31, 2016 to 286,502 as of December 31, 2017 and 373,183 as of June 30, 2018, of which 109,415 were paying clients.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Platform Cornerstones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aim to broadly provide a superior and comprehensive investing experience through the following three cornerstones:</w:t>
      </w:r>
    </w:p>
    <w:p>
      <w:pPr>
        <w:spacing w:after="0" w:line="129" w:lineRule="exact"/>
        <w:rPr>
          <w:sz w:val="20"/>
          <w:szCs w:val="20"/>
          <w:color w:val="auto"/>
        </w:rPr>
      </w:pPr>
    </w:p>
    <w:p>
      <w:pPr>
        <w:ind w:left="1100" w:hanging="435"/>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Convenience: </w:t>
      </w:r>
      <w:r>
        <w:rPr>
          <w:rFonts w:ascii="Arial" w:cs="Arial" w:eastAsia="Arial" w:hAnsi="Arial"/>
          <w:sz w:val="18"/>
          <w:szCs w:val="18"/>
          <w:color w:val="auto"/>
        </w:rPr>
        <w:t>digitized, seamless with excellence in execution.</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Connectivity: </w:t>
      </w:r>
      <w:r>
        <w:rPr>
          <w:rFonts w:ascii="Arial" w:cs="Arial" w:eastAsia="Arial" w:hAnsi="Arial"/>
          <w:sz w:val="18"/>
          <w:szCs w:val="18"/>
          <w:color w:val="auto"/>
        </w:rPr>
        <w:t>interactive and engaging.</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Stability: </w:t>
      </w:r>
      <w:r>
        <w:rPr>
          <w:rFonts w:ascii="Arial" w:cs="Arial" w:eastAsia="Arial" w:hAnsi="Arial"/>
          <w:sz w:val="18"/>
          <w:szCs w:val="18"/>
          <w:color w:val="auto"/>
        </w:rPr>
        <w:t>reliable and secure.</w:t>
      </w:r>
    </w:p>
    <w:p>
      <w:pPr>
        <w:spacing w:after="0" w:line="33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Convenience</w:t>
      </w:r>
    </w:p>
    <w:p>
      <w:pPr>
        <w:spacing w:after="0" w:line="115" w:lineRule="exact"/>
        <w:rPr>
          <w:sz w:val="20"/>
          <w:szCs w:val="20"/>
          <w:color w:val="auto"/>
        </w:rPr>
      </w:pPr>
    </w:p>
    <w:p>
      <w:pPr>
        <w:ind w:left="240" w:firstLine="438"/>
        <w:spacing w:after="0" w:line="309" w:lineRule="auto"/>
        <w:rPr>
          <w:sz w:val="20"/>
          <w:szCs w:val="20"/>
          <w:color w:val="auto"/>
        </w:rPr>
      </w:pPr>
      <w:r>
        <w:rPr>
          <w:rFonts w:ascii="Arial" w:cs="Arial" w:eastAsia="Arial" w:hAnsi="Arial"/>
          <w:sz w:val="16"/>
          <w:szCs w:val="16"/>
          <w:color w:val="auto"/>
        </w:rPr>
        <w:t>We have designed every step of our investing experience, from sourcing and researching ideas to trade execution and subsequent portfolio management, with a goal to create a simple and convenient experience. We identify the hurdles that investors, particularly retail investors, face along the investing journey, and we strive to mitigate inconvenience and information asymmetry through our platform with data and technology. For example:</w:t>
      </w:r>
    </w:p>
    <w:p>
      <w:pPr>
        <w:spacing w:after="0" w:line="55" w:lineRule="exact"/>
        <w:rPr>
          <w:sz w:val="20"/>
          <w:szCs w:val="20"/>
          <w:color w:val="auto"/>
        </w:rPr>
      </w:pPr>
    </w:p>
    <w:p>
      <w:pPr>
        <w:ind w:left="1100" w:hanging="435"/>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digitally execute all brokerage services, including trade execution, cross-market funding, clearing and settlement;</w:t>
      </w:r>
    </w:p>
    <w:p>
      <w:pPr>
        <w:spacing w:after="0" w:line="128" w:lineRule="exact"/>
        <w:rPr>
          <w:rFonts w:ascii="Arial" w:cs="Arial" w:eastAsia="Arial" w:hAnsi="Arial"/>
          <w:sz w:val="18"/>
          <w:szCs w:val="18"/>
          <w:color w:val="auto"/>
        </w:rPr>
      </w:pPr>
    </w:p>
    <w:p>
      <w:pPr>
        <w:ind w:left="1100" w:right="540" w:hanging="435"/>
        <w:spacing w:after="0" w:line="275"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were the first brokerage company in Hong Kong to offer completely online-based trading account opening service among leading players;</w:t>
      </w:r>
    </w:p>
    <w:p>
      <w:pPr>
        <w:spacing w:after="0" w:line="76" w:lineRule="exact"/>
        <w:rPr>
          <w:rFonts w:ascii="Arial" w:cs="Arial" w:eastAsia="Arial" w:hAnsi="Arial"/>
          <w:sz w:val="18"/>
          <w:szCs w:val="18"/>
          <w:color w:val="auto"/>
        </w:rPr>
      </w:pPr>
    </w:p>
    <w:p>
      <w:pPr>
        <w:ind w:left="1100" w:right="160" w:hanging="435"/>
        <w:spacing w:after="0" w:line="275"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users and clients can access our platform anytime through a unified account on multiple devices, including Apple and Android devices as well as Windows- or Mac-based desktop operating systems; and</w:t>
      </w:r>
    </w:p>
    <w:p>
      <w:pPr>
        <w:spacing w:after="0" w:line="76" w:lineRule="exact"/>
        <w:rPr>
          <w:rFonts w:ascii="Arial" w:cs="Arial" w:eastAsia="Arial" w:hAnsi="Arial"/>
          <w:sz w:val="18"/>
          <w:szCs w:val="18"/>
          <w:color w:val="auto"/>
        </w:rPr>
      </w:pPr>
    </w:p>
    <w:p>
      <w:pPr>
        <w:ind w:left="1100" w:right="240" w:hanging="435"/>
        <w:spacing w:after="0" w:line="275"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focus on trade excellence through advanced technology and general infrastructure. In 2017, on average, a client trade was executed in 0.0037 seconds.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60"/>
          </w:cols>
          <w:pgMar w:left="240" w:top="457"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Connectivity</w:t>
      </w:r>
    </w:p>
    <w:p>
      <w:pPr>
        <w:spacing w:after="0" w:line="115" w:lineRule="exact"/>
        <w:rPr>
          <w:sz w:val="20"/>
          <w:szCs w:val="20"/>
          <w:color w:val="auto"/>
        </w:rPr>
      </w:pPr>
    </w:p>
    <w:p>
      <w:pPr>
        <w:ind w:left="240" w:right="40" w:firstLine="438"/>
        <w:spacing w:after="0" w:line="300" w:lineRule="auto"/>
        <w:rPr>
          <w:sz w:val="20"/>
          <w:szCs w:val="20"/>
          <w:color w:val="auto"/>
        </w:rPr>
      </w:pPr>
      <w:r>
        <w:rPr>
          <w:rFonts w:ascii="Arial" w:cs="Arial" w:eastAsia="Arial" w:hAnsi="Arial"/>
          <w:sz w:val="16"/>
          <w:szCs w:val="16"/>
          <w:color w:val="auto"/>
        </w:rPr>
        <w:t xml:space="preserve">We are reinventing how retail investors discover and execute investment opportunities, particularly by offering a social community that has become an integral part of our platform. We have created a medium by which users, investors, companies, analysts, media and key opinion leaders connect and interact as participants of a community. Major interactive tools and functions of our </w:t>
      </w:r>
      <w:r>
        <w:rPr>
          <w:rFonts w:ascii="Arial" w:cs="Arial" w:eastAsia="Arial" w:hAnsi="Arial"/>
          <w:sz w:val="16"/>
          <w:szCs w:val="16"/>
          <w:i w:val="1"/>
          <w:iCs w:val="1"/>
          <w:color w:val="auto"/>
        </w:rPr>
        <w:t>NiuNiu Community</w:t>
      </w:r>
      <w:r>
        <w:rPr>
          <w:rFonts w:ascii="Arial" w:cs="Arial" w:eastAsia="Arial" w:hAnsi="Arial"/>
          <w:sz w:val="16"/>
          <w:szCs w:val="16"/>
          <w:color w:val="auto"/>
        </w:rPr>
        <w:t xml:space="preserve"> include </w:t>
      </w:r>
      <w:r>
        <w:rPr>
          <w:rFonts w:ascii="Arial" w:cs="Arial" w:eastAsia="Arial" w:hAnsi="Arial"/>
          <w:sz w:val="16"/>
          <w:szCs w:val="16"/>
          <w:i w:val="1"/>
          <w:iCs w:val="1"/>
          <w:color w:val="auto"/>
        </w:rPr>
        <w:t>NiuNiu Classroom</w:t>
      </w:r>
      <w:r>
        <w:rPr>
          <w:rFonts w:ascii="Arial" w:cs="Arial" w:eastAsia="Arial" w:hAnsi="Arial"/>
          <w:sz w:val="16"/>
          <w:szCs w:val="16"/>
          <w:color w:val="auto"/>
        </w:rPr>
        <w:t xml:space="preserve">, </w:t>
      </w:r>
      <w:r>
        <w:rPr>
          <w:rFonts w:ascii="Arial" w:cs="Arial" w:eastAsia="Arial" w:hAnsi="Arial"/>
          <w:sz w:val="16"/>
          <w:szCs w:val="16"/>
          <w:i w:val="1"/>
          <w:iCs w:val="1"/>
          <w:color w:val="auto"/>
        </w:rPr>
        <w:t>NiuNiu</w:t>
      </w:r>
      <w:r>
        <w:rPr>
          <w:rFonts w:ascii="Arial" w:cs="Arial" w:eastAsia="Arial" w:hAnsi="Arial"/>
          <w:sz w:val="16"/>
          <w:szCs w:val="16"/>
          <w:color w:val="auto"/>
        </w:rPr>
        <w:t xml:space="preserve"> </w:t>
      </w:r>
      <w:r>
        <w:rPr>
          <w:rFonts w:ascii="Arial" w:cs="Arial" w:eastAsia="Arial" w:hAnsi="Arial"/>
          <w:sz w:val="16"/>
          <w:szCs w:val="16"/>
          <w:i w:val="1"/>
          <w:iCs w:val="1"/>
          <w:color w:val="auto"/>
        </w:rPr>
        <w:t>Live Broadcast</w:t>
      </w:r>
      <w:r>
        <w:rPr>
          <w:rFonts w:ascii="Arial" w:cs="Arial" w:eastAsia="Arial" w:hAnsi="Arial"/>
          <w:sz w:val="16"/>
          <w:szCs w:val="16"/>
          <w:color w:val="auto"/>
        </w:rPr>
        <w:t>,</w:t>
      </w:r>
      <w:r>
        <w:rPr>
          <w:rFonts w:ascii="Arial" w:cs="Arial" w:eastAsia="Arial" w:hAnsi="Arial"/>
          <w:sz w:val="16"/>
          <w:szCs w:val="16"/>
          <w:i w:val="1"/>
          <w:iCs w:val="1"/>
          <w:color w:val="auto"/>
        </w:rPr>
        <w:t xml:space="preserve"> NiuNiu Post </w:t>
      </w:r>
      <w:r>
        <w:rPr>
          <w:rFonts w:ascii="Arial" w:cs="Arial" w:eastAsia="Arial" w:hAnsi="Arial"/>
          <w:sz w:val="16"/>
          <w:szCs w:val="16"/>
          <w:color w:val="auto"/>
        </w:rPr>
        <w:t>and</w:t>
      </w:r>
      <w:r>
        <w:rPr>
          <w:rFonts w:ascii="Arial" w:cs="Arial" w:eastAsia="Arial" w:hAnsi="Arial"/>
          <w:sz w:val="16"/>
          <w:szCs w:val="16"/>
          <w:i w:val="1"/>
          <w:iCs w:val="1"/>
          <w:color w:val="auto"/>
        </w:rPr>
        <w:t xml:space="preserve"> NiuNiu Articles</w:t>
      </w:r>
      <w:r>
        <w:rPr>
          <w:rFonts w:ascii="Arial" w:cs="Arial" w:eastAsia="Arial" w:hAnsi="Arial"/>
          <w:sz w:val="16"/>
          <w:szCs w:val="16"/>
          <w:color w:val="auto"/>
        </w:rPr>
        <w:t>. Below are screenshots of our</w:t>
      </w:r>
      <w:r>
        <w:rPr>
          <w:rFonts w:ascii="Arial" w:cs="Arial" w:eastAsia="Arial" w:hAnsi="Arial"/>
          <w:sz w:val="16"/>
          <w:szCs w:val="16"/>
          <w:i w:val="1"/>
          <w:iCs w:val="1"/>
          <w:color w:val="auto"/>
        </w:rPr>
        <w:t xml:space="preserve"> NiuNiu Classroom </w:t>
      </w:r>
      <w:r>
        <w:rPr>
          <w:rFonts w:ascii="Arial" w:cs="Arial" w:eastAsia="Arial" w:hAnsi="Arial"/>
          <w:sz w:val="16"/>
          <w:szCs w:val="16"/>
          <w:color w:val="auto"/>
        </w:rPr>
        <w:t>and</w:t>
      </w:r>
      <w:r>
        <w:rPr>
          <w:rFonts w:ascii="Arial" w:cs="Arial" w:eastAsia="Arial" w:hAnsi="Arial"/>
          <w:sz w:val="16"/>
          <w:szCs w:val="16"/>
          <w:i w:val="1"/>
          <w:iCs w:val="1"/>
          <w:color w:val="auto"/>
        </w:rPr>
        <w:t xml:space="preserve"> NiuNiu Live Broadcast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123825</wp:posOffset>
            </wp:positionV>
            <wp:extent cx="5090160" cy="36239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90160" cy="362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right="40" w:firstLine="438"/>
        <w:spacing w:after="0" w:line="254" w:lineRule="auto"/>
        <w:rPr>
          <w:sz w:val="20"/>
          <w:szCs w:val="20"/>
          <w:color w:val="auto"/>
        </w:rPr>
      </w:pPr>
      <w:r>
        <w:rPr>
          <w:rFonts w:ascii="Arial" w:cs="Arial" w:eastAsia="Arial" w:hAnsi="Arial"/>
          <w:sz w:val="18"/>
          <w:szCs w:val="18"/>
          <w:color w:val="auto"/>
        </w:rPr>
        <w:t>Our interactive tools drive a community experience built on a lively and dynamic venue for exchanging investment ideas and experiences. We leverage in-house and external resources to publish investment content on our platform through multiple formats, including short-form videos, recorded online lessons and chat rooms. These tools and functions allow our users and clients to review content as well as interact with each other, opening up vibrant avenues for an active exchange of ideas and information. We believe that community engagement serves to break down barriers to investing and promote more investment transactions. For example, in June 2018, on average, a socially active client traded 50 times, while a non-socially active client traded 23 times.</w:t>
      </w:r>
    </w:p>
    <w:p>
      <w:pPr>
        <w:spacing w:after="0" w:line="190"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color w:val="auto"/>
        </w:rPr>
        <w:t>Our community platform allows us to generate valuable feedback in terms of observing the behavior of our users and clients and also through soliciting direct feedback from our most active users and clients, with whom we have, in many instances, direct lines of communication regarding their investing experience. This allows us to identify the pain points in our workflows and improve our platform, often in real time, contributing further to our user and client engagement and stickiness.</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60"/>
          </w:cols>
          <w:pgMar w:left="240" w:top="457"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Stability</w:t>
      </w:r>
    </w:p>
    <w:p>
      <w:pPr>
        <w:spacing w:after="0" w:line="115" w:lineRule="exact"/>
        <w:rPr>
          <w:sz w:val="20"/>
          <w:szCs w:val="20"/>
          <w:color w:val="auto"/>
        </w:rPr>
      </w:pPr>
    </w:p>
    <w:p>
      <w:pPr>
        <w:ind w:left="240" w:right="220" w:firstLine="438"/>
        <w:spacing w:after="0" w:line="275" w:lineRule="auto"/>
        <w:rPr>
          <w:sz w:val="20"/>
          <w:szCs w:val="20"/>
          <w:color w:val="auto"/>
        </w:rPr>
      </w:pPr>
      <w:r>
        <w:rPr>
          <w:rFonts w:ascii="Arial" w:cs="Arial" w:eastAsia="Arial" w:hAnsi="Arial"/>
          <w:sz w:val="18"/>
          <w:szCs w:val="18"/>
          <w:color w:val="auto"/>
        </w:rPr>
        <w:t>We recognize that investing is a meaningful component of our clients’ broader wealth management, for which the reliability and security of our platform is critical. Those attributes differentiate us from other market players. For example:</w:t>
      </w:r>
    </w:p>
    <w:p>
      <w:pPr>
        <w:spacing w:after="0" w:line="76" w:lineRule="exact"/>
        <w:rPr>
          <w:sz w:val="20"/>
          <w:szCs w:val="20"/>
          <w:color w:val="auto"/>
        </w:rPr>
      </w:pPr>
    </w:p>
    <w:p>
      <w:pPr>
        <w:ind w:left="1100" w:hanging="435"/>
        <w:spacing w:after="0" w:line="275"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platform features an automated multi-level protection mechanism to ensure the services and functions we deliver to our users and clients are secure;</w:t>
      </w:r>
    </w:p>
    <w:p>
      <w:pPr>
        <w:spacing w:after="0" w:line="76" w:lineRule="exact"/>
        <w:rPr>
          <w:rFonts w:ascii="Arial" w:cs="Arial" w:eastAsia="Arial" w:hAnsi="Arial"/>
          <w:sz w:val="18"/>
          <w:szCs w:val="18"/>
          <w:color w:val="auto"/>
        </w:rPr>
      </w:pPr>
    </w:p>
    <w:p>
      <w:pPr>
        <w:ind w:left="1100" w:right="140" w:hanging="435"/>
        <w:spacing w:after="0" w:line="275"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have adopted strict security policies and measures, including encryption technology and a two-factor authentication function, to protect our proprietary data such as clients’ personal information and trading data;</w:t>
      </w:r>
    </w:p>
    <w:p>
      <w:pPr>
        <w:spacing w:after="0" w:line="76" w:lineRule="exact"/>
        <w:rPr>
          <w:rFonts w:ascii="Arial" w:cs="Arial" w:eastAsia="Arial" w:hAnsi="Arial"/>
          <w:sz w:val="18"/>
          <w:szCs w:val="18"/>
          <w:color w:val="auto"/>
        </w:rPr>
      </w:pPr>
    </w:p>
    <w:p>
      <w:pPr>
        <w:ind w:left="1100" w:right="40" w:hanging="435"/>
        <w:spacing w:after="0" w:line="275"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cloud technology allows us to process large amounts of data in-house, which significantly reduces the risks involved in data storage and transmission;</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back up our data at different servers spread across different locations;</w:t>
      </w:r>
    </w:p>
    <w:p>
      <w:pPr>
        <w:spacing w:after="0" w:line="128" w:lineRule="exact"/>
        <w:rPr>
          <w:rFonts w:ascii="Arial" w:cs="Arial" w:eastAsia="Arial" w:hAnsi="Arial"/>
          <w:sz w:val="18"/>
          <w:szCs w:val="18"/>
          <w:color w:val="auto"/>
        </w:rPr>
      </w:pPr>
    </w:p>
    <w:p>
      <w:pPr>
        <w:ind w:left="1100" w:right="620" w:hanging="435"/>
        <w:spacing w:after="0" w:line="339" w:lineRule="auto"/>
        <w:tabs>
          <w:tab w:leader="none" w:pos="11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process and execute all of our orders and transactions electronically, greatly minimizing risks associated with human error while maintaining the stability of our platform. Our overall system has achieved 99.98% availability rate in the first half of 2018; and</w:t>
      </w:r>
    </w:p>
    <w:p>
      <w:pPr>
        <w:spacing w:after="0" w:line="30" w:lineRule="exact"/>
        <w:rPr>
          <w:rFonts w:ascii="Arial" w:cs="Arial" w:eastAsia="Arial" w:hAnsi="Arial"/>
          <w:sz w:val="16"/>
          <w:szCs w:val="16"/>
          <w:color w:val="auto"/>
        </w:rPr>
      </w:pPr>
    </w:p>
    <w:p>
      <w:pPr>
        <w:ind w:left="1100" w:hanging="435"/>
        <w:spacing w:after="0"/>
        <w:tabs>
          <w:tab w:leader="none" w:pos="11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proprietary technology system analyzes and predicts malicious attacks and enables us to respond to challenges and attacks promptly.</w:t>
      </w:r>
    </w:p>
    <w:p>
      <w:pPr>
        <w:spacing w:after="0" w:line="3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Services</w:t>
      </w:r>
    </w:p>
    <w:p>
      <w:pPr>
        <w:spacing w:after="0" w:line="119" w:lineRule="exact"/>
        <w:rPr>
          <w:sz w:val="20"/>
          <w:szCs w:val="20"/>
          <w:color w:val="auto"/>
        </w:rPr>
      </w:pPr>
    </w:p>
    <w:p>
      <w:pPr>
        <w:ind w:left="240" w:right="60" w:firstLine="438"/>
        <w:spacing w:after="0" w:line="257" w:lineRule="auto"/>
        <w:rPr>
          <w:sz w:val="20"/>
          <w:szCs w:val="20"/>
          <w:color w:val="auto"/>
        </w:rPr>
      </w:pPr>
      <w:r>
        <w:rPr>
          <w:rFonts w:ascii="Arial" w:cs="Arial" w:eastAsia="Arial" w:hAnsi="Arial"/>
          <w:sz w:val="18"/>
          <w:szCs w:val="18"/>
          <w:color w:val="auto"/>
        </w:rPr>
        <w:t>We provide our users and clients a comprehensive set of services throughout their investing experience. Our core services include trade execution and margin financing. We surround our core offerings with a variety of value-added services, many of which we provide free of charge, to address our clients’ broader brokerage needs as well as increase general client engagement. The following diagram illustrates the comprehensive services we provide to our users and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145415</wp:posOffset>
            </wp:positionV>
            <wp:extent cx="5158105" cy="2430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58105" cy="243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60"/>
          </w:cols>
          <w:pgMar w:left="240" w:top="457"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data and information services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Market Data</w:t>
      </w:r>
    </w:p>
    <w:p>
      <w:pPr>
        <w:spacing w:after="0" w:line="115" w:lineRule="exact"/>
        <w:rPr>
          <w:sz w:val="20"/>
          <w:szCs w:val="20"/>
          <w:color w:val="auto"/>
        </w:rPr>
      </w:pPr>
    </w:p>
    <w:p>
      <w:pPr>
        <w:ind w:left="240" w:right="360" w:firstLine="438"/>
        <w:spacing w:after="0" w:line="305" w:lineRule="auto"/>
        <w:rPr>
          <w:sz w:val="20"/>
          <w:szCs w:val="20"/>
          <w:color w:val="auto"/>
        </w:rPr>
      </w:pPr>
      <w:r>
        <w:rPr>
          <w:rFonts w:ascii="Arial" w:cs="Arial" w:eastAsia="Arial" w:hAnsi="Arial"/>
          <w:sz w:val="17"/>
          <w:szCs w:val="17"/>
          <w:color w:val="auto"/>
        </w:rPr>
        <w:t>We provide real-time stock quotes across the China, Hong Kong and the United States equity markets. Our quotes are free for all China-based clients as well as for Hong Kong-based clients whose transaction frequency or account balance exceeds a certain threshold.</w:t>
      </w:r>
    </w:p>
    <w:p>
      <w:pPr>
        <w:spacing w:after="0" w:line="148" w:lineRule="exact"/>
        <w:rPr>
          <w:sz w:val="20"/>
          <w:szCs w:val="20"/>
          <w:color w:val="auto"/>
        </w:rPr>
      </w:pPr>
    </w:p>
    <w:p>
      <w:pPr>
        <w:ind w:left="240" w:right="80" w:firstLine="438"/>
        <w:spacing w:after="0" w:line="257" w:lineRule="auto"/>
        <w:rPr>
          <w:sz w:val="20"/>
          <w:szCs w:val="20"/>
          <w:color w:val="auto"/>
        </w:rPr>
      </w:pPr>
      <w:r>
        <w:rPr>
          <w:rFonts w:ascii="Arial" w:cs="Arial" w:eastAsia="Arial" w:hAnsi="Arial"/>
          <w:sz w:val="18"/>
          <w:szCs w:val="18"/>
          <w:color w:val="auto"/>
        </w:rPr>
        <w:t>We provide a number of advanced and intuitive tools which allow our users and clients to customize the manner in which they monitor the capital markets. For instance, they can filter the broader market across a range of criteria including industry, valuation, trading volume and price volatility over a certain period of time, which provides a unique opportunity to quickly identify market swings or dislocations. These filters are available across markets so our users and clients can monitor multiple markets simultaneously.</w:t>
      </w:r>
    </w:p>
    <w:p>
      <w:pPr>
        <w:spacing w:after="0" w:line="188" w:lineRule="exact"/>
        <w:rPr>
          <w:sz w:val="20"/>
          <w:szCs w:val="20"/>
          <w:color w:val="auto"/>
        </w:rPr>
      </w:pPr>
    </w:p>
    <w:p>
      <w:pPr>
        <w:ind w:left="240" w:right="180" w:firstLine="438"/>
        <w:spacing w:after="0" w:line="284" w:lineRule="auto"/>
        <w:rPr>
          <w:sz w:val="20"/>
          <w:szCs w:val="20"/>
          <w:color w:val="auto"/>
        </w:rPr>
      </w:pPr>
      <w:r>
        <w:rPr>
          <w:rFonts w:ascii="Arial" w:cs="Arial" w:eastAsia="Arial" w:hAnsi="Arial"/>
          <w:sz w:val="17"/>
          <w:szCs w:val="17"/>
          <w:color w:val="auto"/>
        </w:rPr>
        <w:t>On an individual company basis, users and clients are able to review detailed fundamental and technical analyses based on information available on our platform, including monitoring recent transaction details such as trading volumes by major brokers, viewing analyst ratings and target prices, reviewing operating and financial metrics, and reading compiled news and other research and company specific content.</w:t>
      </w:r>
    </w:p>
    <w:p>
      <w:pPr>
        <w:spacing w:after="0" w:line="165" w:lineRule="exact"/>
        <w:rPr>
          <w:sz w:val="20"/>
          <w:szCs w:val="20"/>
          <w:color w:val="auto"/>
        </w:rPr>
      </w:pPr>
    </w:p>
    <w:p>
      <w:pPr>
        <w:ind w:left="240" w:right="360" w:firstLine="438"/>
        <w:spacing w:after="0" w:line="275" w:lineRule="auto"/>
        <w:rPr>
          <w:sz w:val="20"/>
          <w:szCs w:val="20"/>
          <w:color w:val="auto"/>
        </w:rPr>
      </w:pPr>
      <w:r>
        <w:rPr>
          <w:rFonts w:ascii="Arial" w:cs="Arial" w:eastAsia="Arial" w:hAnsi="Arial"/>
          <w:sz w:val="18"/>
          <w:szCs w:val="18"/>
          <w:color w:val="auto"/>
        </w:rPr>
        <w:t>Compared to dispersed or fee-based market data traditionally provided by other market players, we believe our tools and market data help our users and clients make informed investing decisions more easily.</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Information Services</w:t>
      </w:r>
    </w:p>
    <w:p>
      <w:pPr>
        <w:spacing w:after="0" w:line="115" w:lineRule="exact"/>
        <w:rPr>
          <w:sz w:val="20"/>
          <w:szCs w:val="20"/>
          <w:color w:val="auto"/>
        </w:rPr>
      </w:pPr>
    </w:p>
    <w:p>
      <w:pPr>
        <w:ind w:left="240" w:right="260" w:firstLine="438"/>
        <w:spacing w:after="0" w:line="275" w:lineRule="auto"/>
        <w:rPr>
          <w:sz w:val="20"/>
          <w:szCs w:val="20"/>
          <w:color w:val="auto"/>
        </w:rPr>
      </w:pPr>
      <w:r>
        <w:rPr>
          <w:rFonts w:ascii="Arial" w:cs="Arial" w:eastAsia="Arial" w:hAnsi="Arial"/>
          <w:sz w:val="18"/>
          <w:szCs w:val="18"/>
          <w:color w:val="auto"/>
        </w:rPr>
        <w:t>We distill investment information and trends into engaging, accessible and diversified content, guiding investors along the investing experience and helping to simplify the decision making process.</w:t>
      </w:r>
    </w:p>
    <w:p>
      <w:pPr>
        <w:spacing w:after="0" w:line="170" w:lineRule="exact"/>
        <w:rPr>
          <w:sz w:val="20"/>
          <w:szCs w:val="20"/>
          <w:color w:val="auto"/>
        </w:rPr>
      </w:pPr>
    </w:p>
    <w:p>
      <w:pPr>
        <w:ind w:left="240" w:firstLine="438"/>
        <w:spacing w:after="0" w:line="274" w:lineRule="auto"/>
        <w:rPr>
          <w:sz w:val="20"/>
          <w:szCs w:val="20"/>
          <w:color w:val="auto"/>
        </w:rPr>
      </w:pPr>
      <w:r>
        <w:rPr>
          <w:rFonts w:ascii="Arial" w:cs="Arial" w:eastAsia="Arial" w:hAnsi="Arial"/>
          <w:sz w:val="17"/>
          <w:szCs w:val="17"/>
          <w:color w:val="auto"/>
        </w:rPr>
        <w:t>Our information services generally include real-time news alerts, such as earnings releases and corporate announcements, topical industry or company-level deep dives and proprietary data flows such as our compiled IPO pipeline. We deliver our content across different formats including short-form news, graphics and essays. Content is grouped by over 20 animated tags that facilitate easy searches and allow our users and clients to customize information feeds. As a user or client spends more time on our platform, we are able to employ artificial intelligence to develop targeted content recommendations which we have found to be effective and helpful to enhance user engagement.</w:t>
      </w:r>
    </w:p>
    <w:p>
      <w:pPr>
        <w:spacing w:after="0" w:line="173" w:lineRule="exact"/>
        <w:rPr>
          <w:sz w:val="20"/>
          <w:szCs w:val="20"/>
          <w:color w:val="auto"/>
        </w:rPr>
      </w:pPr>
    </w:p>
    <w:p>
      <w:pPr>
        <w:ind w:left="240" w:right="660" w:firstLine="438"/>
        <w:spacing w:after="0" w:line="275" w:lineRule="auto"/>
        <w:rPr>
          <w:sz w:val="20"/>
          <w:szCs w:val="20"/>
          <w:color w:val="auto"/>
        </w:rPr>
      </w:pPr>
      <w:r>
        <w:rPr>
          <w:rFonts w:ascii="Arial" w:cs="Arial" w:eastAsia="Arial" w:hAnsi="Arial"/>
          <w:sz w:val="18"/>
          <w:szCs w:val="18"/>
          <w:color w:val="auto"/>
        </w:rPr>
        <w:t>We aggregate and curate our content through an internal content creation team as well as through collaboration with third-party resources, including leading international news agencies and market centers.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Trading, clearing and settlement</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provide trading, clearing and settlement services beginning with account opening and extending through portfolio management.</w:t>
      </w:r>
    </w:p>
    <w:p>
      <w:pPr>
        <w:spacing w:after="0" w:line="223" w:lineRule="exact"/>
        <w:rPr>
          <w:sz w:val="20"/>
          <w:szCs w:val="20"/>
          <w:color w:val="auto"/>
        </w:rPr>
      </w:pPr>
    </w:p>
    <w:p>
      <w:pPr>
        <w:ind w:left="240" w:right="100" w:firstLine="438"/>
        <w:spacing w:after="0" w:line="257" w:lineRule="auto"/>
        <w:rPr>
          <w:sz w:val="20"/>
          <w:szCs w:val="20"/>
          <w:color w:val="auto"/>
        </w:rPr>
      </w:pPr>
      <w:r>
        <w:rPr>
          <w:rFonts w:ascii="Arial" w:cs="Arial" w:eastAsia="Arial" w:hAnsi="Arial"/>
          <w:sz w:val="18"/>
          <w:szCs w:val="18"/>
          <w:color w:val="auto"/>
        </w:rPr>
        <w:t>We operate our securities brokerage business through Futu Securities International (Hong Kong) Limited, or Futu International Hong Kong, our wholly-owned subsidiary incorporated in Hong Kong, which is a licensed company permitted by the HK SFC to carry out securities dealing and is regulated by the Securities and Futures Ordinance. We were granted a Type 1 License for dealing in securities in 2012 and have become a participant of the Stock Exchange of Hong Kong Limited as a licensed broker since then. See “—Licenses.”</w:t>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Account Opening</w:t>
      </w:r>
    </w:p>
    <w:p>
      <w:pPr>
        <w:spacing w:after="0" w:line="115" w:lineRule="exact"/>
        <w:rPr>
          <w:sz w:val="20"/>
          <w:szCs w:val="20"/>
          <w:color w:val="auto"/>
        </w:rPr>
      </w:pPr>
    </w:p>
    <w:p>
      <w:pPr>
        <w:ind w:left="240" w:right="820" w:firstLine="438"/>
        <w:spacing w:after="0" w:line="275" w:lineRule="auto"/>
        <w:rPr>
          <w:sz w:val="20"/>
          <w:szCs w:val="20"/>
          <w:color w:val="auto"/>
        </w:rPr>
      </w:pPr>
      <w:r>
        <w:rPr>
          <w:rFonts w:ascii="Arial" w:cs="Arial" w:eastAsia="Arial" w:hAnsi="Arial"/>
          <w:sz w:val="18"/>
          <w:szCs w:val="18"/>
          <w:color w:val="auto"/>
        </w:rPr>
        <w:t>Opening a brokerage account has historically been a time-consuming and paper-intensive process, both for investors and brokerages. In developing our platform, we intended to break down this point of friction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7"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
        <w:spacing w:after="0" w:line="255" w:lineRule="auto"/>
        <w:rPr>
          <w:sz w:val="20"/>
          <w:szCs w:val="20"/>
          <w:color w:val="auto"/>
        </w:rPr>
      </w:pPr>
      <w:r>
        <w:rPr>
          <w:rFonts w:ascii="Arial" w:cs="Arial" w:eastAsia="Arial" w:hAnsi="Arial"/>
          <w:sz w:val="18"/>
          <w:szCs w:val="18"/>
          <w:color w:val="auto"/>
        </w:rPr>
        <w:t xml:space="preserve">meaningfully improve the account opening process. We believe that a significant driver of our client base growth is our ability to reduce unnecessary friction in the account opening process. In 2017, we opened over 138,000 new accounts, representing a 70.1% increase as compared to approximately 81,200 new account openings in 2016. We are the first licensed brokerage company to provide 100% online-based trading account opening services among leading players in Hong Kong, and we provide this functionality through our </w:t>
      </w:r>
      <w:r>
        <w:rPr>
          <w:rFonts w:ascii="Arial" w:cs="Arial" w:eastAsia="Arial" w:hAnsi="Arial"/>
          <w:sz w:val="18"/>
          <w:szCs w:val="18"/>
          <w:i w:val="1"/>
          <w:iCs w:val="1"/>
          <w:color w:val="auto"/>
        </w:rPr>
        <w:t>Futu NiuNiu</w:t>
      </w:r>
      <w:r>
        <w:rPr>
          <w:rFonts w:ascii="Arial" w:cs="Arial" w:eastAsia="Arial" w:hAnsi="Arial"/>
          <w:sz w:val="18"/>
          <w:szCs w:val="18"/>
          <w:color w:val="auto"/>
        </w:rPr>
        <w:t xml:space="preserve"> platform, which allows an application to be completed in as little as five minutes.</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investors who are residents in Hong Kong, the two steps involved in opening trading accounts with us are set forth below:</w:t>
      </w:r>
    </w:p>
    <w:p>
      <w:pPr>
        <w:spacing w:after="0" w:line="129" w:lineRule="exact"/>
        <w:rPr>
          <w:sz w:val="20"/>
          <w:szCs w:val="20"/>
          <w:color w:val="auto"/>
        </w:rPr>
      </w:pPr>
    </w:p>
    <w:p>
      <w:pPr>
        <w:ind w:left="1100" w:right="20" w:hanging="435"/>
        <w:spacing w:after="0" w:line="274" w:lineRule="auto"/>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Step 1: Online application</w:t>
      </w:r>
      <w:r>
        <w:rPr>
          <w:rFonts w:ascii="Arial" w:cs="Arial" w:eastAsia="Arial" w:hAnsi="Arial"/>
          <w:sz w:val="17"/>
          <w:szCs w:val="17"/>
          <w:color w:val="auto"/>
        </w:rPr>
        <w:t xml:space="preserve">. Users of our </w:t>
      </w:r>
      <w:r>
        <w:rPr>
          <w:rFonts w:ascii="Arial" w:cs="Arial" w:eastAsia="Arial" w:hAnsi="Arial"/>
          <w:sz w:val="17"/>
          <w:szCs w:val="17"/>
          <w:i w:val="1"/>
          <w:iCs w:val="1"/>
          <w:color w:val="auto"/>
        </w:rPr>
        <w:t>Futu NiuNiu</w:t>
      </w:r>
      <w:r>
        <w:rPr>
          <w:rFonts w:ascii="Arial" w:cs="Arial" w:eastAsia="Arial" w:hAnsi="Arial"/>
          <w:sz w:val="17"/>
          <w:szCs w:val="17"/>
          <w:color w:val="auto"/>
        </w:rPr>
        <w:t xml:space="preserve"> platform, either through our mobile or desktop application, can click an embedded link to submit an online account opening application by following simple instructions. Users are required to submit personal information, employment history, financial conditions, source of funds and other related information. Users must also read and consent to a standard client agreement and other required documents and review a disclaimer video which discloses trading risks presented by our licensed personnel. The online application process can typically be completed in less than five minutes.</w:t>
      </w:r>
    </w:p>
    <w:p>
      <w:pPr>
        <w:spacing w:after="0" w:line="79" w:lineRule="exact"/>
        <w:rPr>
          <w:rFonts w:ascii="Arial" w:cs="Arial" w:eastAsia="Arial" w:hAnsi="Arial"/>
          <w:sz w:val="17"/>
          <w:szCs w:val="17"/>
          <w:color w:val="auto"/>
        </w:rPr>
      </w:pPr>
    </w:p>
    <w:p>
      <w:pPr>
        <w:ind w:left="1100" w:hanging="435"/>
        <w:spacing w:after="0" w:line="286" w:lineRule="auto"/>
        <w:tabs>
          <w:tab w:leader="none" w:pos="110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Step 2: Verification procedures</w:t>
      </w:r>
      <w:r>
        <w:rPr>
          <w:rFonts w:ascii="Arial" w:cs="Arial" w:eastAsia="Arial" w:hAnsi="Arial"/>
          <w:sz w:val="16"/>
          <w:szCs w:val="16"/>
          <w:color w:val="auto"/>
        </w:rPr>
        <w:t>. Upon receiving a completed online application, our automated risk management system will proceed to verify the applicant’s identity. If the prospective client chooses to complete the verification procedures online, in accordance with the HK SFC rules promulgated in July 2018, we will require him or her to (i) submit a copy of his or her Hong Kong photo identification, Hong Kong residential address proof and other relevant identification documents, (ii) link the trading account to be opened with his or her personal bank account opened with a qualified bank in Hong Kong, and (iii) transfer no less than HK$10,000 into the trading account from that personal bank account. Once the prospective client’s bank account information and other submitted documents match the information submitted during the online application, the online identification verification will be completed and the trading account will be automatically opened. We also offer traditional offline verification, where a prospective client may meet a member of our verification team and conduct the abovementioned verification process with paper copies of critical documents. The prospective clients can also mail to us a check in the amount of HK$10,000 or more together with relevant identification documents to conduct verification.</w:t>
      </w:r>
    </w:p>
    <w:p>
      <w:pPr>
        <w:spacing w:after="0" w:line="171" w:lineRule="exact"/>
        <w:rPr>
          <w:sz w:val="20"/>
          <w:szCs w:val="20"/>
          <w:color w:val="auto"/>
        </w:rPr>
      </w:pPr>
    </w:p>
    <w:p>
      <w:pPr>
        <w:ind w:left="240" w:right="40" w:firstLine="438"/>
        <w:spacing w:after="0" w:line="267" w:lineRule="auto"/>
        <w:rPr>
          <w:sz w:val="20"/>
          <w:szCs w:val="20"/>
          <w:color w:val="auto"/>
        </w:rPr>
      </w:pPr>
      <w:r>
        <w:rPr>
          <w:rFonts w:ascii="Arial" w:cs="Arial" w:eastAsia="Arial" w:hAnsi="Arial"/>
          <w:sz w:val="17"/>
          <w:szCs w:val="17"/>
          <w:color w:val="auto"/>
        </w:rPr>
        <w:t>Our prospective clients who are residents in China can also open Hong Kong trading accounts online. Online verification procedures for residents in China can be completed once the information of a prospective client’s PRC identification matches the information in the government identification database and linked to his or her debit card opened with a China-based bank and other submitted documents. For details of the verification procedures for China-based clients, see “—Risk Management—Brokerage Service Risk Management.” As the technologies and practices in connection with online trading accounts opening services are in early stages of development, we are subject to evolving laws, regulations, guidelines, and other regulatory requirements with respect to our online account opening procedures. See “Risk Factors—Risks related to Our Business and Industry—We are subject to extensive and evolving regulatory requirements in Hong Kong,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 In addition, we are involved in ongoing inquiries and investigations by the HK SFC” and “Risk Factors—Risks related to Our Business and Industry—Our current client online account opening procedures do not strictly follow the specified steps set out by the relevant authorities in Hong Kong.”</w:t>
      </w:r>
    </w:p>
    <w:p>
      <w:pPr>
        <w:spacing w:after="0" w:line="186" w:lineRule="exact"/>
        <w:rPr>
          <w:sz w:val="20"/>
          <w:szCs w:val="20"/>
          <w:color w:val="auto"/>
        </w:rPr>
      </w:pPr>
    </w:p>
    <w:p>
      <w:pPr>
        <w:jc w:val="both"/>
        <w:ind w:left="240" w:right="240" w:firstLine="438"/>
        <w:spacing w:after="0" w:line="309" w:lineRule="auto"/>
        <w:rPr>
          <w:sz w:val="20"/>
          <w:szCs w:val="20"/>
          <w:color w:val="auto"/>
        </w:rPr>
      </w:pPr>
      <w:r>
        <w:rPr>
          <w:rFonts w:ascii="Arial" w:cs="Arial" w:eastAsia="Arial" w:hAnsi="Arial"/>
          <w:sz w:val="16"/>
          <w:szCs w:val="16"/>
          <w:color w:val="auto"/>
        </w:rPr>
        <w:t>We also offer an automated and streamlined process to open additional trading accounts for trading securities of companies listed on the major stock exchanges in the U.S. or securities of companies qualified under the Hong Kong, Shanghai and Shenzhen Stock Connect, either simultaneously during the account opening process or after they have opened their first Hong Kong trading accounts with us. The “Hong Kong, Shanghai</w:t>
      </w:r>
    </w:p>
    <w:p>
      <w:pPr>
        <w:spacing w:after="0" w:line="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7"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60"/>
        <w:spacing w:after="0" w:line="339" w:lineRule="auto"/>
        <w:rPr>
          <w:sz w:val="20"/>
          <w:szCs w:val="20"/>
          <w:color w:val="auto"/>
        </w:rPr>
      </w:pPr>
      <w:r>
        <w:rPr>
          <w:rFonts w:ascii="Arial" w:cs="Arial" w:eastAsia="Arial" w:hAnsi="Arial"/>
          <w:sz w:val="16"/>
          <w:szCs w:val="16"/>
          <w:color w:val="auto"/>
        </w:rPr>
        <w:t>and Shenzhen Stock Connect” is a unique collaboration between the Hong Kong, Shanghai and Shenzhen stock exchanges, which allows international and China-based investors to trade securities in each other’s markets through the trading and clearing facilities of their respective home exchange.</w:t>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Trade execution</w:t>
      </w:r>
    </w:p>
    <w:p>
      <w:pPr>
        <w:spacing w:after="0" w:line="115" w:lineRule="exact"/>
        <w:rPr>
          <w:sz w:val="20"/>
          <w:szCs w:val="20"/>
          <w:color w:val="auto"/>
        </w:rPr>
      </w:pPr>
    </w:p>
    <w:p>
      <w:pPr>
        <w:ind w:left="240" w:right="20" w:firstLine="438"/>
        <w:spacing w:after="0" w:line="262" w:lineRule="auto"/>
        <w:rPr>
          <w:sz w:val="20"/>
          <w:szCs w:val="20"/>
          <w:color w:val="auto"/>
        </w:rPr>
      </w:pPr>
      <w:r>
        <w:rPr>
          <w:rFonts w:ascii="Arial" w:cs="Arial" w:eastAsia="Arial" w:hAnsi="Arial"/>
          <w:sz w:val="18"/>
          <w:szCs w:val="18"/>
          <w:color w:val="auto"/>
        </w:rPr>
        <w:t>Once a client has opened a trading account they may place orders on our platform. Placing an order is simple and intuitive and involves identifying the securities and the size of the trade, either in terms of the number of shares or the value of the trade in instances where fractions of a share can be traded.</w:t>
      </w:r>
    </w:p>
    <w:p>
      <w:pPr>
        <w:spacing w:after="0" w:line="181" w:lineRule="exact"/>
        <w:rPr>
          <w:sz w:val="20"/>
          <w:szCs w:val="20"/>
          <w:color w:val="auto"/>
        </w:rPr>
      </w:pPr>
    </w:p>
    <w:p>
      <w:pPr>
        <w:ind w:left="240" w:right="120" w:firstLine="438"/>
        <w:spacing w:after="0" w:line="292" w:lineRule="auto"/>
        <w:rPr>
          <w:sz w:val="20"/>
          <w:szCs w:val="20"/>
          <w:color w:val="auto"/>
        </w:rPr>
      </w:pPr>
      <w:r>
        <w:rPr>
          <w:rFonts w:ascii="Arial" w:cs="Arial" w:eastAsia="Arial" w:hAnsi="Arial"/>
          <w:sz w:val="16"/>
          <w:szCs w:val="16"/>
          <w:color w:val="auto"/>
        </w:rPr>
        <w:t>The trade execution process is entirely online and automated. We aggregate orders simultaneously and form trading instructions which are delivered to respective exchanges. As we are a licensed broker in Hong Kong with integration into the trading systems of the Hong Kong Stock Exchange and the CCASS clearing system, we manage all steps involved in processing securities transactions independently for securities listed on the Hong Kong Stock Exchange or qualified under the Hong Kong, Shanghai and Shenzhen Stock Connect. These automated steps include order confirmation, receipt, settlement, delivery and record-keeping. Additionally, we had 100 throttling controllers connected to the trading system of the Hong Kong Stock Exchange as of June 30, 2018, allowing us to execute a large amount of trading transactions simultaneously.</w:t>
      </w:r>
    </w:p>
    <w:p>
      <w:pPr>
        <w:spacing w:after="0" w:line="161" w:lineRule="exact"/>
        <w:rPr>
          <w:sz w:val="20"/>
          <w:szCs w:val="20"/>
          <w:color w:val="auto"/>
        </w:rPr>
      </w:pPr>
    </w:p>
    <w:p>
      <w:pPr>
        <w:ind w:left="240" w:right="300" w:firstLine="438"/>
        <w:spacing w:after="0" w:line="309" w:lineRule="auto"/>
        <w:rPr>
          <w:sz w:val="20"/>
          <w:szCs w:val="20"/>
          <w:color w:val="auto"/>
        </w:rPr>
      </w:pPr>
      <w:r>
        <w:rPr>
          <w:rFonts w:ascii="Arial" w:cs="Arial" w:eastAsia="Arial" w:hAnsi="Arial"/>
          <w:sz w:val="16"/>
          <w:szCs w:val="16"/>
          <w:color w:val="auto"/>
        </w:rPr>
        <w:t>For securities traded on the major stock exchanges in the U.S., we aggregate trade instructions from clients and, without disclosing underlying client names or fund details, collaborate with qualified local third-party brokerage companies for execution and settlement. From the client’s perspective, the process is seamless as we handle all client communications and touchpoints, including delivery and receipt of funds.</w:t>
      </w:r>
    </w:p>
    <w:p>
      <w:pPr>
        <w:spacing w:after="0" w:line="149" w:lineRule="exact"/>
        <w:rPr>
          <w:sz w:val="20"/>
          <w:szCs w:val="20"/>
          <w:color w:val="auto"/>
        </w:rPr>
      </w:pPr>
    </w:p>
    <w:p>
      <w:pPr>
        <w:ind w:left="240" w:firstLine="438"/>
        <w:spacing w:after="0" w:line="292" w:lineRule="auto"/>
        <w:rPr>
          <w:sz w:val="20"/>
          <w:szCs w:val="20"/>
          <w:color w:val="auto"/>
        </w:rPr>
      </w:pPr>
      <w:r>
        <w:rPr>
          <w:rFonts w:ascii="Arial" w:cs="Arial" w:eastAsia="Arial" w:hAnsi="Arial"/>
          <w:sz w:val="16"/>
          <w:szCs w:val="16"/>
          <w:color w:val="auto"/>
        </w:rPr>
        <w:t>For trading securities of companies listed on the Shenzhen Stock Exchange or the Shanghai Stock Exchange, we currently collaborate with a leading Chinese brokerage company which allows our clients to access the online trading system of such Chinese brokerage company simply by logging into our platform. In order to complete trading transactions of securities listed on the Shenzhen Stock Exchange or the Shanghai Stock Exchange, clients need to register a trading account separately with the Chinese brokerage company, who will then handle the trading, clearing and settlement of all the client transactions. We only serve as an access point for the trading systems of the Chinese brokerage company and we do not execute any orders placed by our clients with respect to securities listed on the Shenzhen Stock Exchange or the Shanghai Stock Exchange.</w:t>
      </w:r>
    </w:p>
    <w:p>
      <w:pPr>
        <w:spacing w:after="0" w:line="161" w:lineRule="exact"/>
        <w:rPr>
          <w:sz w:val="20"/>
          <w:szCs w:val="20"/>
          <w:color w:val="auto"/>
        </w:rPr>
      </w:pPr>
    </w:p>
    <w:p>
      <w:pPr>
        <w:jc w:val="both"/>
        <w:ind w:left="240" w:right="360" w:firstLine="438"/>
        <w:spacing w:after="0" w:line="262" w:lineRule="auto"/>
        <w:rPr>
          <w:sz w:val="20"/>
          <w:szCs w:val="20"/>
          <w:color w:val="auto"/>
        </w:rPr>
      </w:pPr>
      <w:r>
        <w:rPr>
          <w:rFonts w:ascii="Arial" w:cs="Arial" w:eastAsia="Arial" w:hAnsi="Arial"/>
          <w:sz w:val="18"/>
          <w:szCs w:val="18"/>
          <w:color w:val="auto"/>
        </w:rPr>
        <w:t>For securities listed on the Hong Kong Stock Exchange and the major stock exchanges in the U.S., our clients are able to sell their securities through our platform on the same day of stock purchase. For securities qualified under the Hong Kong, Shanghai and Shenzhen Stock Connect, our clients are able to sell their securities through our platform one trading day after purchase.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60"/>
          </w:cols>
          <w:pgMar w:left="240" w:top="457"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 w:firstLine="438"/>
        <w:spacing w:after="0" w:line="277" w:lineRule="auto"/>
        <w:rPr>
          <w:sz w:val="20"/>
          <w:szCs w:val="20"/>
          <w:color w:val="auto"/>
        </w:rPr>
      </w:pPr>
      <w:r>
        <w:rPr>
          <w:rFonts w:ascii="Arial" w:cs="Arial" w:eastAsia="Arial" w:hAnsi="Arial"/>
          <w:sz w:val="17"/>
          <w:szCs w:val="17"/>
          <w:color w:val="auto"/>
        </w:rPr>
        <w:t>As a result of the operational efficiencies afforded by our technology, we are able to sustainably charge a lower brokerage commission rate for online trading as compared to most of our competitors. In general, our revenues from securities brokerage services includes brokerage commissions and platform service fees from our clients, which are recognized on a trade-date basis when the relevant transactions are executed. Depending on the specific securities traded, we charge the following commissions and fees to our clients:</w:t>
      </w:r>
    </w:p>
    <w:p>
      <w:pPr>
        <w:spacing w:after="0" w:line="193" w:lineRule="exact"/>
        <w:rPr>
          <w:sz w:val="20"/>
          <w:szCs w:val="20"/>
          <w:color w:val="auto"/>
        </w:rPr>
      </w:pPr>
    </w:p>
    <w:tbl>
      <w:tblPr>
        <w:tblLayout w:type="fixed"/>
        <w:tblInd w:w="250" w:type="dxa"/>
        <w:tblCellMar>
          <w:top w:w="0" w:type="dxa"/>
          <w:left w:w="0" w:type="dxa"/>
          <w:bottom w:w="0" w:type="dxa"/>
          <w:right w:w="0" w:type="dxa"/>
        </w:tblCellMar>
      </w:tblPr>
      <w:tr>
        <w:trPr>
          <w:trHeight w:val="255"/>
        </w:trPr>
        <w:tc>
          <w:tcPr>
            <w:tcW w:w="1100" w:type="dxa"/>
            <w:vAlign w:val="bottom"/>
            <w:tcBorders>
              <w:top w:val="single" w:sz="8" w:color="auto"/>
              <w:left w:val="single" w:sz="8" w:color="auto"/>
            </w:tcBorders>
          </w:tcPr>
          <w:p>
            <w:pPr>
              <w:spacing w:after="0"/>
              <w:rPr>
                <w:sz w:val="22"/>
                <w:szCs w:val="22"/>
                <w:color w:val="auto"/>
              </w:rPr>
            </w:pPr>
          </w:p>
        </w:tc>
        <w:tc>
          <w:tcPr>
            <w:tcW w:w="1540" w:type="dxa"/>
            <w:vAlign w:val="bottom"/>
            <w:tcBorders>
              <w:top w:val="single" w:sz="8" w:color="auto"/>
              <w:right w:val="single" w:sz="8" w:color="auto"/>
            </w:tcBorders>
          </w:tcPr>
          <w:p>
            <w:pPr>
              <w:spacing w:after="0"/>
              <w:rPr>
                <w:sz w:val="22"/>
                <w:szCs w:val="22"/>
                <w:color w:val="auto"/>
              </w:rPr>
            </w:pPr>
          </w:p>
        </w:tc>
        <w:tc>
          <w:tcPr>
            <w:tcW w:w="2660" w:type="dxa"/>
            <w:vAlign w:val="bottom"/>
            <w:tcBorders>
              <w:top w:val="single" w:sz="8" w:color="auto"/>
              <w:bottom w:val="single" w:sz="8" w:color="auto"/>
            </w:tcBorders>
          </w:tcPr>
          <w:p>
            <w:pPr>
              <w:spacing w:after="0"/>
              <w:rPr>
                <w:sz w:val="22"/>
                <w:szCs w:val="22"/>
                <w:color w:val="auto"/>
              </w:rPr>
            </w:pPr>
          </w:p>
        </w:tc>
        <w:tc>
          <w:tcPr>
            <w:tcW w:w="26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b w:val="1"/>
                <w:bCs w:val="1"/>
                <w:color w:val="auto"/>
              </w:rPr>
              <w:t>Commissions and Fees</w:t>
            </w:r>
          </w:p>
        </w:tc>
        <w:tc>
          <w:tcPr>
            <w:tcW w:w="306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64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Trading Markets</w:t>
            </w:r>
          </w:p>
        </w:tc>
        <w:tc>
          <w:tcPr>
            <w:tcW w:w="266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4"/>
                <w:szCs w:val="14"/>
                <w:b w:val="1"/>
                <w:bCs w:val="1"/>
                <w:color w:val="auto"/>
              </w:rPr>
              <w:t>Brokerage Commissions</w:t>
            </w:r>
          </w:p>
        </w:tc>
        <w:tc>
          <w:tcPr>
            <w:tcW w:w="26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auto"/>
              </w:rPr>
              <w:t>Platform Service Fees</w:t>
            </w:r>
          </w:p>
        </w:tc>
        <w:tc>
          <w:tcPr>
            <w:tcW w:w="3060" w:type="dxa"/>
            <w:vAlign w:val="bottom"/>
            <w:tcBorders>
              <w:bottom w:val="single" w:sz="8" w:color="auto"/>
              <w:right w:val="single" w:sz="8" w:color="auto"/>
            </w:tcBorders>
          </w:tcPr>
          <w:p>
            <w:pPr>
              <w:ind w:left="1220"/>
              <w:spacing w:after="0"/>
              <w:rPr>
                <w:sz w:val="20"/>
                <w:szCs w:val="20"/>
                <w:color w:val="auto"/>
              </w:rPr>
            </w:pPr>
            <w:r>
              <w:rPr>
                <w:rFonts w:ascii="Arial" w:cs="Arial" w:eastAsia="Arial" w:hAnsi="Arial"/>
                <w:sz w:val="14"/>
                <w:szCs w:val="14"/>
                <w:b w:val="1"/>
                <w:bCs w:val="1"/>
                <w:color w:val="auto"/>
              </w:rPr>
              <w:t>Others Fees</w:t>
            </w:r>
          </w:p>
        </w:tc>
        <w:tc>
          <w:tcPr>
            <w:tcW w:w="0" w:type="dxa"/>
            <w:vAlign w:val="bottom"/>
          </w:tcPr>
          <w:p>
            <w:pPr>
              <w:spacing w:after="0"/>
              <w:rPr>
                <w:sz w:val="1"/>
                <w:szCs w:val="1"/>
                <w:color w:val="auto"/>
              </w:rPr>
            </w:pPr>
          </w:p>
        </w:tc>
      </w:tr>
      <w:tr>
        <w:trPr>
          <w:trHeight w:val="279"/>
        </w:trPr>
        <w:tc>
          <w:tcPr>
            <w:tcW w:w="1100" w:type="dxa"/>
            <w:vAlign w:val="bottom"/>
            <w:tcBorders>
              <w:lef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4"/>
              </w:rPr>
              <w:t>Transaction clearing fees at 0.005% of the</w:t>
            </w:r>
          </w:p>
        </w:tc>
        <w:tc>
          <w:tcPr>
            <w:tcW w:w="0" w:type="dxa"/>
            <w:vAlign w:val="bottom"/>
          </w:tcPr>
          <w:p>
            <w:pPr>
              <w:spacing w:after="0"/>
              <w:rPr>
                <w:sz w:val="1"/>
                <w:szCs w:val="1"/>
                <w:color w:val="auto"/>
              </w:rPr>
            </w:pPr>
          </w:p>
        </w:tc>
      </w:tr>
      <w:tr>
        <w:trPr>
          <w:trHeight w:val="201"/>
        </w:trPr>
        <w:tc>
          <w:tcPr>
            <w:tcW w:w="110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vMerge w:val="restart"/>
          </w:tcPr>
          <w:p>
            <w:pPr>
              <w:ind w:left="220"/>
              <w:spacing w:after="0" w:line="268" w:lineRule="exact"/>
              <w:rPr>
                <w:sz w:val="20"/>
                <w:szCs w:val="20"/>
                <w:color w:val="auto"/>
              </w:rPr>
            </w:pPr>
            <w:r>
              <w:rPr>
                <w:rFonts w:ascii="Arial" w:cs="Arial" w:eastAsia="Arial" w:hAnsi="Arial"/>
                <w:sz w:val="16"/>
                <w:szCs w:val="16"/>
                <w:b w:val="1"/>
                <w:bCs w:val="1"/>
                <w:color w:val="auto"/>
                <w:w w:val="93"/>
              </w:rPr>
              <w:t>Plan 1</w:t>
            </w:r>
            <w:r>
              <w:rPr>
                <w:rFonts w:ascii="Arial" w:cs="Arial" w:eastAsia="Arial" w:hAnsi="Arial"/>
                <w:sz w:val="27"/>
                <w:szCs w:val="27"/>
                <w:b w:val="1"/>
                <w:bCs w:val="1"/>
                <w:color w:val="auto"/>
                <w:w w:val="93"/>
                <w:vertAlign w:val="superscript"/>
              </w:rPr>
              <w:t>(1)</w:t>
            </w:r>
            <w:r>
              <w:rPr>
                <w:rFonts w:ascii="Arial" w:cs="Arial" w:eastAsia="Arial" w:hAnsi="Arial"/>
                <w:sz w:val="16"/>
                <w:szCs w:val="16"/>
                <w:color w:val="auto"/>
                <w:w w:val="93"/>
              </w:rPr>
              <w:t>: 0.05% of the total trading</w:t>
            </w:r>
          </w:p>
        </w:tc>
        <w:tc>
          <w:tcPr>
            <w:tcW w:w="262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total trading volume, including 0.002%</w:t>
            </w:r>
          </w:p>
        </w:tc>
        <w:tc>
          <w:tcPr>
            <w:tcW w:w="0" w:type="dxa"/>
            <w:vAlign w:val="bottom"/>
          </w:tcPr>
          <w:p>
            <w:pPr>
              <w:spacing w:after="0"/>
              <w:rPr>
                <w:sz w:val="1"/>
                <w:szCs w:val="1"/>
                <w:color w:val="auto"/>
              </w:rPr>
            </w:pPr>
          </w:p>
        </w:tc>
      </w:tr>
      <w:tr>
        <w:trPr>
          <w:trHeight w:val="67"/>
        </w:trPr>
        <w:tc>
          <w:tcPr>
            <w:tcW w:w="1100" w:type="dxa"/>
            <w:vAlign w:val="bottom"/>
            <w:tcBorders>
              <w:lef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vMerge w:val="continue"/>
          </w:tcPr>
          <w:p>
            <w:pPr>
              <w:spacing w:after="0"/>
              <w:rPr>
                <w:sz w:val="5"/>
                <w:szCs w:val="5"/>
                <w:color w:val="auto"/>
              </w:rPr>
            </w:pPr>
          </w:p>
        </w:tc>
        <w:tc>
          <w:tcPr>
            <w:tcW w:w="2620" w:type="dxa"/>
            <w:vAlign w:val="bottom"/>
            <w:tcBorders>
              <w:right w:val="single" w:sz="8" w:color="auto"/>
            </w:tcBorders>
          </w:tcPr>
          <w:p>
            <w:pPr>
              <w:spacing w:after="0"/>
              <w:rPr>
                <w:sz w:val="5"/>
                <w:szCs w:val="5"/>
                <w:color w:val="auto"/>
              </w:rPr>
            </w:pP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being charged on behalf of the clearing</w:t>
            </w: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w w:val="98"/>
              </w:rPr>
              <w:t>volume (with a minimum charge of</w:t>
            </w:r>
          </w:p>
        </w:tc>
        <w:tc>
          <w:tcPr>
            <w:tcW w:w="26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w:t>
            </w:r>
          </w:p>
        </w:tc>
        <w:tc>
          <w:tcPr>
            <w:tcW w:w="3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100" w:type="dxa"/>
            <w:vAlign w:val="bottom"/>
            <w:tcBorders>
              <w:lef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vMerge w:val="continue"/>
          </w:tcPr>
          <w:p>
            <w:pPr>
              <w:spacing w:after="0"/>
              <w:rPr>
                <w:sz w:val="5"/>
                <w:szCs w:val="5"/>
                <w:color w:val="auto"/>
              </w:rPr>
            </w:pPr>
          </w:p>
        </w:tc>
        <w:tc>
          <w:tcPr>
            <w:tcW w:w="2620" w:type="dxa"/>
            <w:vAlign w:val="bottom"/>
            <w:tcBorders>
              <w:right w:val="single" w:sz="8" w:color="auto"/>
            </w:tcBorders>
            <w:vMerge w:val="continue"/>
          </w:tcPr>
          <w:p>
            <w:pPr>
              <w:spacing w:after="0"/>
              <w:rPr>
                <w:sz w:val="5"/>
                <w:szCs w:val="5"/>
                <w:color w:val="auto"/>
              </w:rPr>
            </w:pP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w w:val="97"/>
              </w:rPr>
              <w:t>house, and other government charges on</w:t>
            </w: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HK$50)</w:t>
            </w:r>
          </w:p>
        </w:tc>
        <w:tc>
          <w:tcPr>
            <w:tcW w:w="2620" w:type="dxa"/>
            <w:vAlign w:val="bottom"/>
            <w:tcBorders>
              <w:right w:val="single" w:sz="8" w:color="auto"/>
            </w:tcBorders>
          </w:tcPr>
          <w:p>
            <w:pPr>
              <w:spacing w:after="0"/>
              <w:rPr>
                <w:sz w:val="11"/>
                <w:szCs w:val="11"/>
                <w:color w:val="auto"/>
              </w:rPr>
            </w:pPr>
          </w:p>
        </w:tc>
        <w:tc>
          <w:tcPr>
            <w:tcW w:w="3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100" w:type="dxa"/>
            <w:vAlign w:val="bottom"/>
            <w:tcBorders>
              <w:lef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behalf of the government</w:t>
            </w: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3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00" w:type="dxa"/>
            <w:vAlign w:val="bottom"/>
            <w:tcBorders>
              <w:lef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2660" w:type="dxa"/>
            <w:vAlign w:val="bottom"/>
            <w:tcBorders>
              <w:bottom w:val="single" w:sz="8" w:color="auto"/>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3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264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Hong Kong Stock Exchange</w:t>
            </w:r>
          </w:p>
        </w:tc>
        <w:tc>
          <w:tcPr>
            <w:tcW w:w="266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ind w:left="180"/>
              <w:spacing w:after="0"/>
              <w:rPr>
                <w:sz w:val="20"/>
                <w:szCs w:val="20"/>
                <w:color w:val="auto"/>
              </w:rPr>
            </w:pPr>
            <w:r>
              <w:rPr>
                <w:rFonts w:ascii="Arial" w:cs="Arial" w:eastAsia="Arial" w:hAnsi="Arial"/>
                <w:sz w:val="16"/>
                <w:szCs w:val="16"/>
                <w:b w:val="1"/>
                <w:bCs w:val="1"/>
                <w:color w:val="auto"/>
              </w:rPr>
              <w:t>Plan 2</w:t>
            </w:r>
            <w:r>
              <w:rPr>
                <w:rFonts w:ascii="Arial" w:cs="Arial" w:eastAsia="Arial" w:hAnsi="Arial"/>
                <w:sz w:val="27"/>
                <w:szCs w:val="27"/>
                <w:b w:val="1"/>
                <w:bCs w:val="1"/>
                <w:color w:val="auto"/>
                <w:vertAlign w:val="superscript"/>
              </w:rPr>
              <w:t>(2)</w:t>
            </w:r>
            <w:r>
              <w:rPr>
                <w:rFonts w:ascii="Arial" w:cs="Arial" w:eastAsia="Arial" w:hAnsi="Arial"/>
                <w:sz w:val="16"/>
                <w:szCs w:val="16"/>
                <w:color w:val="auto"/>
              </w:rPr>
              <w:t>: HK$15 for each</w:t>
            </w: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640" w:type="dxa"/>
            <w:vAlign w:val="bottom"/>
            <w:tcBorders>
              <w:left w:val="single" w:sz="8" w:color="auto"/>
              <w:right w:val="single" w:sz="8" w:color="auto"/>
            </w:tcBorders>
            <w:gridSpan w:val="2"/>
            <w:vMerge w:val="continue"/>
          </w:tcPr>
          <w:p>
            <w:pPr>
              <w:spacing w:after="0"/>
              <w:rPr>
                <w:sz w:val="4"/>
                <w:szCs w:val="4"/>
                <w:color w:val="auto"/>
              </w:rPr>
            </w:pPr>
          </w:p>
        </w:tc>
        <w:tc>
          <w:tcPr>
            <w:tcW w:w="266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transaction</w:t>
            </w:r>
          </w:p>
        </w:tc>
        <w:tc>
          <w:tcPr>
            <w:tcW w:w="3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100" w:type="dxa"/>
            <w:vAlign w:val="bottom"/>
            <w:tcBorders>
              <w:lef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vMerge w:val="continue"/>
          </w:tcPr>
          <w:p>
            <w:pPr>
              <w:spacing w:after="0"/>
              <w:rPr>
                <w:sz w:val="13"/>
                <w:szCs w:val="13"/>
                <w:color w:val="auto"/>
              </w:rPr>
            </w:pPr>
          </w:p>
        </w:tc>
        <w:tc>
          <w:tcPr>
            <w:tcW w:w="3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0.03% of the total trading volume</w:t>
            </w:r>
          </w:p>
        </w:tc>
        <w:tc>
          <w:tcPr>
            <w:tcW w:w="2620" w:type="dxa"/>
            <w:vAlign w:val="bottom"/>
            <w:tcBorders>
              <w:bottom w:val="single" w:sz="8" w:color="auto"/>
              <w:right w:val="single" w:sz="8" w:color="auto"/>
            </w:tcBorders>
          </w:tcPr>
          <w:p>
            <w:pPr>
              <w:spacing w:after="0"/>
              <w:rPr>
                <w:sz w:val="11"/>
                <w:szCs w:val="11"/>
                <w:color w:val="auto"/>
              </w:rPr>
            </w:pP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Transaction clearing fees and other</w:t>
            </w:r>
          </w:p>
        </w:tc>
        <w:tc>
          <w:tcPr>
            <w:tcW w:w="0" w:type="dxa"/>
            <w:vAlign w:val="bottom"/>
          </w:tcPr>
          <w:p>
            <w:pPr>
              <w:spacing w:after="0"/>
              <w:rPr>
                <w:sz w:val="1"/>
                <w:szCs w:val="1"/>
                <w:color w:val="auto"/>
              </w:rPr>
            </w:pPr>
          </w:p>
        </w:tc>
      </w:tr>
      <w:tr>
        <w:trPr>
          <w:trHeight w:val="78"/>
        </w:trPr>
        <w:tc>
          <w:tcPr>
            <w:tcW w:w="1100" w:type="dxa"/>
            <w:vAlign w:val="bottom"/>
            <w:tcBorders>
              <w:lef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2620" w:type="dxa"/>
            <w:vAlign w:val="bottom"/>
            <w:tcBorders>
              <w:right w:val="single" w:sz="8" w:color="auto"/>
            </w:tcBorders>
          </w:tcPr>
          <w:p>
            <w:pPr>
              <w:spacing w:after="0"/>
              <w:rPr>
                <w:sz w:val="6"/>
                <w:szCs w:val="6"/>
                <w:color w:val="auto"/>
              </w:rPr>
            </w:pPr>
          </w:p>
        </w:tc>
        <w:tc>
          <w:tcPr>
            <w:tcW w:w="30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100" w:type="dxa"/>
            <w:vAlign w:val="bottom"/>
            <w:tcBorders>
              <w:lef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2660" w:type="dxa"/>
            <w:vAlign w:val="bottom"/>
            <w:tcBorders>
              <w:right w:val="single" w:sz="8" w:color="auto"/>
            </w:tcBorders>
            <w:vMerge w:val="continue"/>
          </w:tcPr>
          <w:p>
            <w:pPr>
              <w:spacing w:after="0"/>
              <w:rPr>
                <w:sz w:val="8"/>
                <w:szCs w:val="8"/>
                <w:color w:val="auto"/>
              </w:rPr>
            </w:pPr>
          </w:p>
        </w:tc>
        <w:tc>
          <w:tcPr>
            <w:tcW w:w="2620" w:type="dxa"/>
            <w:vAlign w:val="bottom"/>
            <w:tcBorders>
              <w:right w:val="single" w:sz="8" w:color="auto"/>
            </w:tcBorders>
            <w:vMerge w:val="restart"/>
          </w:tcPr>
          <w:p>
            <w:pPr>
              <w:ind w:left="180"/>
              <w:spacing w:after="0" w:line="201" w:lineRule="exact"/>
              <w:rPr>
                <w:sz w:val="20"/>
                <w:szCs w:val="20"/>
                <w:color w:val="auto"/>
              </w:rPr>
            </w:pPr>
            <w:r>
              <w:rPr>
                <w:rFonts w:ascii="Arial" w:cs="Arial" w:eastAsia="Arial" w:hAnsi="Arial"/>
                <w:sz w:val="14"/>
                <w:szCs w:val="14"/>
                <w:b w:val="1"/>
                <w:bCs w:val="1"/>
                <w:color w:val="auto"/>
              </w:rPr>
              <w:t>Plan 3</w:t>
            </w:r>
            <w:r>
              <w:rPr>
                <w:rFonts w:ascii="Arial" w:cs="Arial" w:eastAsia="Arial" w:hAnsi="Arial"/>
                <w:sz w:val="23"/>
                <w:szCs w:val="23"/>
                <w:b w:val="1"/>
                <w:bCs w:val="1"/>
                <w:color w:val="auto"/>
                <w:vertAlign w:val="superscript"/>
              </w:rPr>
              <w:t>(2)</w:t>
            </w:r>
            <w:r>
              <w:rPr>
                <w:rFonts w:ascii="Arial" w:cs="Arial" w:eastAsia="Arial" w:hAnsi="Arial"/>
                <w:sz w:val="14"/>
                <w:szCs w:val="14"/>
                <w:color w:val="auto"/>
              </w:rPr>
              <w:t>: ranging from HK$1 to</w:t>
            </w: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government charges on behalf of the</w:t>
            </w:r>
          </w:p>
        </w:tc>
        <w:tc>
          <w:tcPr>
            <w:tcW w:w="0" w:type="dxa"/>
            <w:vAlign w:val="bottom"/>
          </w:tcPr>
          <w:p>
            <w:pPr>
              <w:spacing w:after="0"/>
              <w:rPr>
                <w:sz w:val="1"/>
                <w:szCs w:val="1"/>
                <w:color w:val="auto"/>
              </w:rPr>
            </w:pPr>
          </w:p>
        </w:tc>
      </w:tr>
      <w:tr>
        <w:trPr>
          <w:trHeight w:val="107"/>
        </w:trPr>
        <w:tc>
          <w:tcPr>
            <w:tcW w:w="1100" w:type="dxa"/>
            <w:vAlign w:val="bottom"/>
            <w:tcBorders>
              <w:lef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(with a minimum charge of HK$3)</w:t>
            </w:r>
          </w:p>
        </w:tc>
        <w:tc>
          <w:tcPr>
            <w:tcW w:w="2620" w:type="dxa"/>
            <w:vAlign w:val="bottom"/>
            <w:tcBorders>
              <w:right w:val="single" w:sz="8" w:color="auto"/>
            </w:tcBorders>
            <w:vMerge w:val="continue"/>
          </w:tcPr>
          <w:p>
            <w:pPr>
              <w:spacing w:after="0"/>
              <w:rPr>
                <w:sz w:val="9"/>
                <w:szCs w:val="9"/>
                <w:color w:val="auto"/>
              </w:rPr>
            </w:pPr>
          </w:p>
        </w:tc>
        <w:tc>
          <w:tcPr>
            <w:tcW w:w="3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100" w:type="dxa"/>
            <w:vAlign w:val="bottom"/>
            <w:tcBorders>
              <w:lef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2660" w:type="dxa"/>
            <w:vAlign w:val="bottom"/>
            <w:tcBorders>
              <w:right w:val="single" w:sz="8" w:color="auto"/>
            </w:tcBorders>
            <w:vMerge w:val="continue"/>
          </w:tcPr>
          <w:p>
            <w:pPr>
              <w:spacing w:after="0"/>
              <w:rPr>
                <w:sz w:val="8"/>
                <w:szCs w:val="8"/>
                <w:color w:val="auto"/>
              </w:rPr>
            </w:pPr>
          </w:p>
        </w:tc>
        <w:tc>
          <w:tcPr>
            <w:tcW w:w="26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w w:val="93"/>
              </w:rPr>
              <w:t>HK$30 per transaction based on the</w:t>
            </w: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clearing house and the government</w:t>
            </w: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3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10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w w:val="92"/>
              </w:rPr>
              <w:t>number of transactions executed per</w:t>
            </w:r>
          </w:p>
        </w:tc>
        <w:tc>
          <w:tcPr>
            <w:tcW w:w="3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month</w:t>
            </w:r>
          </w:p>
        </w:tc>
        <w:tc>
          <w:tcPr>
            <w:tcW w:w="3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100" w:type="dxa"/>
            <w:vAlign w:val="bottom"/>
            <w:tcBorders>
              <w:left w:val="single" w:sz="8" w:color="auto"/>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2660" w:type="dxa"/>
            <w:vAlign w:val="bottom"/>
            <w:tcBorders>
              <w:bottom w:val="single" w:sz="8" w:color="auto"/>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3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1100" w:type="dxa"/>
            <w:vAlign w:val="bottom"/>
            <w:tcBorders>
              <w:lef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ind w:left="220"/>
              <w:spacing w:after="0" w:line="279" w:lineRule="exact"/>
              <w:rPr>
                <w:sz w:val="20"/>
                <w:szCs w:val="20"/>
                <w:color w:val="auto"/>
              </w:rPr>
            </w:pPr>
            <w:r>
              <w:rPr>
                <w:rFonts w:ascii="Arial" w:cs="Arial" w:eastAsia="Arial" w:hAnsi="Arial"/>
                <w:sz w:val="16"/>
                <w:szCs w:val="16"/>
                <w:b w:val="1"/>
                <w:bCs w:val="1"/>
                <w:color w:val="auto"/>
                <w:w w:val="96"/>
              </w:rPr>
              <w:t>Plan 1</w:t>
            </w:r>
            <w:r>
              <w:rPr>
                <w:rFonts w:ascii="Arial" w:cs="Arial" w:eastAsia="Arial" w:hAnsi="Arial"/>
                <w:sz w:val="27"/>
                <w:szCs w:val="27"/>
                <w:b w:val="1"/>
                <w:bCs w:val="1"/>
                <w:color w:val="auto"/>
                <w:w w:val="96"/>
                <w:vertAlign w:val="superscript"/>
              </w:rPr>
              <w:t>(1)</w:t>
            </w:r>
            <w:r>
              <w:rPr>
                <w:rFonts w:ascii="Arial" w:cs="Arial" w:eastAsia="Arial" w:hAnsi="Arial"/>
                <w:sz w:val="16"/>
                <w:szCs w:val="16"/>
                <w:color w:val="auto"/>
                <w:w w:val="96"/>
              </w:rPr>
              <w:t>: US$0.01 per share/ADS</w:t>
            </w:r>
          </w:p>
        </w:tc>
        <w:tc>
          <w:tcPr>
            <w:tcW w:w="262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10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(with a minimum charge of</w:t>
            </w:r>
          </w:p>
        </w:tc>
        <w:tc>
          <w:tcPr>
            <w:tcW w:w="26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3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0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US$1.99)</w:t>
            </w:r>
          </w:p>
        </w:tc>
        <w:tc>
          <w:tcPr>
            <w:tcW w:w="262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1100" w:type="dxa"/>
            <w:vAlign w:val="bottom"/>
            <w:tcBorders>
              <w:lef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right w:val="single" w:sz="8" w:color="auto"/>
            </w:tcBorders>
          </w:tcPr>
          <w:p>
            <w:pPr>
              <w:spacing w:after="0"/>
              <w:rPr>
                <w:sz w:val="7"/>
                <w:szCs w:val="7"/>
                <w:color w:val="auto"/>
              </w:rPr>
            </w:pP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w w:val="94"/>
              </w:rPr>
              <w:t>Transaction clearing fees at US$0.003 per</w:t>
            </w:r>
          </w:p>
        </w:tc>
        <w:tc>
          <w:tcPr>
            <w:tcW w:w="0" w:type="dxa"/>
            <w:vAlign w:val="bottom"/>
          </w:tcPr>
          <w:p>
            <w:pPr>
              <w:spacing w:after="0"/>
              <w:rPr>
                <w:sz w:val="1"/>
                <w:szCs w:val="1"/>
                <w:color w:val="auto"/>
              </w:rPr>
            </w:pPr>
          </w:p>
        </w:tc>
      </w:tr>
      <w:tr>
        <w:trPr>
          <w:trHeight w:val="172"/>
        </w:trPr>
        <w:tc>
          <w:tcPr>
            <w:tcW w:w="1100" w:type="dxa"/>
            <w:vAlign w:val="bottom"/>
            <w:tcBorders>
              <w:lef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vMerge w:val="restart"/>
          </w:tcPr>
          <w:p>
            <w:pPr>
              <w:ind w:left="220"/>
              <w:spacing w:after="0" w:line="306" w:lineRule="exact"/>
              <w:rPr>
                <w:sz w:val="20"/>
                <w:szCs w:val="20"/>
                <w:color w:val="auto"/>
              </w:rPr>
            </w:pPr>
            <w:r>
              <w:rPr>
                <w:rFonts w:ascii="Arial" w:cs="Arial" w:eastAsia="Arial" w:hAnsi="Arial"/>
                <w:sz w:val="16"/>
                <w:szCs w:val="16"/>
                <w:b w:val="1"/>
                <w:bCs w:val="1"/>
                <w:color w:val="auto"/>
                <w:w w:val="89"/>
              </w:rPr>
              <w:t>Plan 2</w:t>
            </w:r>
            <w:r>
              <w:rPr>
                <w:rFonts w:ascii="Arial" w:cs="Arial" w:eastAsia="Arial" w:hAnsi="Arial"/>
                <w:sz w:val="27"/>
                <w:szCs w:val="27"/>
                <w:b w:val="1"/>
                <w:bCs w:val="1"/>
                <w:color w:val="auto"/>
                <w:w w:val="89"/>
                <w:vertAlign w:val="superscript"/>
              </w:rPr>
              <w:t>(2)</w:t>
            </w:r>
            <w:r>
              <w:rPr>
                <w:rFonts w:ascii="Arial" w:cs="Arial" w:eastAsia="Arial" w:hAnsi="Arial"/>
                <w:sz w:val="16"/>
                <w:szCs w:val="16"/>
                <w:color w:val="auto"/>
                <w:w w:val="89"/>
              </w:rPr>
              <w:t>: US$0.0049 per share/ADS</w:t>
            </w:r>
          </w:p>
        </w:tc>
        <w:tc>
          <w:tcPr>
            <w:tcW w:w="26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US$0.005 per share/ADS (with a</w:t>
            </w:r>
          </w:p>
        </w:tc>
        <w:tc>
          <w:tcPr>
            <w:tcW w:w="30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4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Major U.S. Stock Exchanges</w:t>
            </w:r>
          </w:p>
        </w:tc>
        <w:tc>
          <w:tcPr>
            <w:tcW w:w="266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w w:val="94"/>
              </w:rPr>
              <w:t>share/ADS and other government charges</w:t>
            </w:r>
          </w:p>
        </w:tc>
        <w:tc>
          <w:tcPr>
            <w:tcW w:w="0" w:type="dxa"/>
            <w:vAlign w:val="bottom"/>
          </w:tcPr>
          <w:p>
            <w:pPr>
              <w:spacing w:after="0"/>
              <w:rPr>
                <w:sz w:val="1"/>
                <w:szCs w:val="1"/>
                <w:color w:val="auto"/>
              </w:rPr>
            </w:pPr>
          </w:p>
        </w:tc>
      </w:tr>
      <w:tr>
        <w:trPr>
          <w:trHeight w:val="67"/>
        </w:trPr>
        <w:tc>
          <w:tcPr>
            <w:tcW w:w="2640" w:type="dxa"/>
            <w:vAlign w:val="bottom"/>
            <w:tcBorders>
              <w:left w:val="single" w:sz="8" w:color="auto"/>
              <w:right w:val="single" w:sz="8" w:color="auto"/>
            </w:tcBorders>
            <w:gridSpan w:val="2"/>
            <w:vMerge w:val="continue"/>
          </w:tcPr>
          <w:p>
            <w:pPr>
              <w:spacing w:after="0"/>
              <w:rPr>
                <w:sz w:val="5"/>
                <w:szCs w:val="5"/>
                <w:color w:val="auto"/>
              </w:rPr>
            </w:pPr>
          </w:p>
        </w:tc>
        <w:tc>
          <w:tcPr>
            <w:tcW w:w="2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w w:val="94"/>
              </w:rPr>
              <w:t>(with a minimum charge of US$0.99</w:t>
            </w:r>
          </w:p>
        </w:tc>
        <w:tc>
          <w:tcPr>
            <w:tcW w:w="26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w w:val="95"/>
              </w:rPr>
              <w:t>minimum of US$1.0 per transaction</w:t>
            </w:r>
          </w:p>
        </w:tc>
        <w:tc>
          <w:tcPr>
            <w:tcW w:w="3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40" w:type="dxa"/>
            <w:vAlign w:val="bottom"/>
            <w:tcBorders>
              <w:left w:val="single" w:sz="8" w:color="auto"/>
              <w:right w:val="single" w:sz="8" w:color="auto"/>
            </w:tcBorders>
            <w:gridSpan w:val="2"/>
            <w:vMerge w:val="continue"/>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on behalf of the clearing house and the</w:t>
            </w:r>
          </w:p>
        </w:tc>
        <w:tc>
          <w:tcPr>
            <w:tcW w:w="0" w:type="dxa"/>
            <w:vAlign w:val="bottom"/>
          </w:tcPr>
          <w:p>
            <w:pPr>
              <w:spacing w:after="0"/>
              <w:rPr>
                <w:sz w:val="1"/>
                <w:szCs w:val="1"/>
                <w:color w:val="auto"/>
              </w:rPr>
            </w:pPr>
          </w:p>
        </w:tc>
      </w:tr>
      <w:tr>
        <w:trPr>
          <w:trHeight w:val="67"/>
        </w:trPr>
        <w:tc>
          <w:tcPr>
            <w:tcW w:w="1100" w:type="dxa"/>
            <w:vAlign w:val="bottom"/>
            <w:tcBorders>
              <w:lef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w w:val="98"/>
              </w:rPr>
              <w:t>and a maximum charge of 0.5% of</w:t>
            </w:r>
          </w:p>
        </w:tc>
        <w:tc>
          <w:tcPr>
            <w:tcW w:w="26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w w:val="98"/>
              </w:rPr>
              <w:t>and a maximum charge of 0.5% of</w:t>
            </w:r>
          </w:p>
        </w:tc>
        <w:tc>
          <w:tcPr>
            <w:tcW w:w="3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government</w:t>
            </w:r>
          </w:p>
        </w:tc>
        <w:tc>
          <w:tcPr>
            <w:tcW w:w="0" w:type="dxa"/>
            <w:vAlign w:val="bottom"/>
          </w:tcPr>
          <w:p>
            <w:pPr>
              <w:spacing w:after="0"/>
              <w:rPr>
                <w:sz w:val="1"/>
                <w:szCs w:val="1"/>
                <w:color w:val="auto"/>
              </w:rPr>
            </w:pPr>
          </w:p>
        </w:tc>
      </w:tr>
      <w:tr>
        <w:trPr>
          <w:trHeight w:val="71"/>
        </w:trPr>
        <w:tc>
          <w:tcPr>
            <w:tcW w:w="1100" w:type="dxa"/>
            <w:vAlign w:val="bottom"/>
            <w:tcBorders>
              <w:lef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the total trading volume)</w:t>
            </w:r>
          </w:p>
        </w:tc>
        <w:tc>
          <w:tcPr>
            <w:tcW w:w="26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the trading volume)</w:t>
            </w:r>
          </w:p>
        </w:tc>
        <w:tc>
          <w:tcPr>
            <w:tcW w:w="30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vMerge w:val="continue"/>
          </w:tcPr>
          <w:p>
            <w:pPr>
              <w:spacing w:after="0"/>
              <w:rPr>
                <w:sz w:val="11"/>
                <w:szCs w:val="11"/>
                <w:color w:val="auto"/>
              </w:rPr>
            </w:pPr>
          </w:p>
        </w:tc>
        <w:tc>
          <w:tcPr>
            <w:tcW w:w="3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00" w:type="dxa"/>
            <w:vAlign w:val="bottom"/>
            <w:tcBorders>
              <w:lef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2660" w:type="dxa"/>
            <w:vAlign w:val="bottom"/>
            <w:tcBorders>
              <w:bottom w:val="single" w:sz="8" w:color="auto"/>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30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1100" w:type="dxa"/>
            <w:vAlign w:val="bottom"/>
            <w:tcBorders>
              <w:lef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ind w:left="220"/>
              <w:spacing w:after="0"/>
              <w:rPr>
                <w:sz w:val="20"/>
                <w:szCs w:val="20"/>
                <w:color w:val="auto"/>
              </w:rPr>
            </w:pPr>
            <w:r>
              <w:rPr>
                <w:rFonts w:ascii="Arial" w:cs="Arial" w:eastAsia="Arial" w:hAnsi="Arial"/>
                <w:sz w:val="16"/>
                <w:szCs w:val="16"/>
                <w:b w:val="1"/>
                <w:bCs w:val="1"/>
                <w:color w:val="auto"/>
              </w:rPr>
              <w:t>Plan 3</w:t>
            </w:r>
            <w:r>
              <w:rPr>
                <w:rFonts w:ascii="Arial" w:cs="Arial" w:eastAsia="Arial" w:hAnsi="Arial"/>
                <w:sz w:val="16"/>
                <w:szCs w:val="16"/>
                <w:color w:val="auto"/>
              </w:rPr>
              <w:t>: US$5 per transaction</w:t>
            </w:r>
          </w:p>
        </w:tc>
        <w:tc>
          <w:tcPr>
            <w:tcW w:w="262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3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100" w:type="dxa"/>
            <w:vAlign w:val="bottom"/>
            <w:tcBorders>
              <w:left w:val="single" w:sz="8" w:color="auto"/>
              <w:bottom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right w:val="single" w:sz="8" w:color="auto"/>
            </w:tcBorders>
          </w:tcPr>
          <w:p>
            <w:pPr>
              <w:spacing w:after="0"/>
              <w:rPr>
                <w:sz w:val="7"/>
                <w:szCs w:val="7"/>
                <w:color w:val="auto"/>
              </w:rPr>
            </w:pPr>
          </w:p>
        </w:tc>
        <w:tc>
          <w:tcPr>
            <w:tcW w:w="3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64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The Hong Kong, Shanghai and</w:t>
            </w:r>
          </w:p>
        </w:tc>
        <w:tc>
          <w:tcPr>
            <w:tcW w:w="26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w w:val="93"/>
              </w:rPr>
              <w:t>0.01% of the trading volume of each</w:t>
            </w:r>
          </w:p>
        </w:tc>
        <w:tc>
          <w:tcPr>
            <w:tcW w:w="2620" w:type="dxa"/>
            <w:vAlign w:val="bottom"/>
            <w:tcBorders>
              <w:right w:val="single" w:sz="8" w:color="auto"/>
            </w:tcBorders>
          </w:tcPr>
          <w:p>
            <w:pPr>
              <w:spacing w:after="0"/>
              <w:rPr>
                <w:sz w:val="23"/>
                <w:szCs w:val="23"/>
                <w:color w:val="auto"/>
              </w:rPr>
            </w:pPr>
          </w:p>
        </w:tc>
        <w:tc>
          <w:tcPr>
            <w:tcW w:w="30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Transaction clearing fees and other</w:t>
            </w:r>
          </w:p>
        </w:tc>
        <w:tc>
          <w:tcPr>
            <w:tcW w:w="0" w:type="dxa"/>
            <w:vAlign w:val="bottom"/>
          </w:tcPr>
          <w:p>
            <w:pPr>
              <w:spacing w:after="0"/>
              <w:rPr>
                <w:sz w:val="1"/>
                <w:szCs w:val="1"/>
                <w:color w:val="auto"/>
              </w:rPr>
            </w:pPr>
          </w:p>
        </w:tc>
      </w:tr>
      <w:tr>
        <w:trPr>
          <w:trHeight w:val="205"/>
        </w:trPr>
        <w:tc>
          <w:tcPr>
            <w:tcW w:w="2640" w:type="dxa"/>
            <w:vAlign w:val="bottom"/>
            <w:tcBorders>
              <w:left w:val="single" w:sz="8" w:color="auto"/>
              <w:right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Shenzhen Stock Connect</w:t>
            </w:r>
          </w:p>
        </w:tc>
        <w:tc>
          <w:tcPr>
            <w:tcW w:w="266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w w:val="95"/>
              </w:rPr>
              <w:t>transaction (with a minimum charge</w:t>
            </w:r>
          </w:p>
        </w:tc>
        <w:tc>
          <w:tcPr>
            <w:tcW w:w="26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RMB15 per transaction</w:t>
            </w:r>
          </w:p>
        </w:tc>
        <w:tc>
          <w:tcPr>
            <w:tcW w:w="306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government charges on behalf of the</w:t>
            </w:r>
          </w:p>
        </w:tc>
        <w:tc>
          <w:tcPr>
            <w:tcW w:w="0" w:type="dxa"/>
            <w:vAlign w:val="bottom"/>
          </w:tcPr>
          <w:p>
            <w:pPr>
              <w:spacing w:after="0"/>
              <w:rPr>
                <w:sz w:val="1"/>
                <w:szCs w:val="1"/>
                <w:color w:val="auto"/>
              </w:rPr>
            </w:pPr>
          </w:p>
        </w:tc>
      </w:tr>
      <w:tr>
        <w:trPr>
          <w:trHeight w:val="71"/>
        </w:trPr>
        <w:tc>
          <w:tcPr>
            <w:tcW w:w="1100" w:type="dxa"/>
            <w:vAlign w:val="bottom"/>
            <w:tcBorders>
              <w:lef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of RMB5)</w:t>
            </w:r>
          </w:p>
        </w:tc>
        <w:tc>
          <w:tcPr>
            <w:tcW w:w="2620" w:type="dxa"/>
            <w:vAlign w:val="bottom"/>
            <w:tcBorders>
              <w:right w:val="single" w:sz="8" w:color="auto"/>
            </w:tcBorders>
            <w:vMerge w:val="continue"/>
          </w:tcPr>
          <w:p>
            <w:pPr>
              <w:spacing w:after="0"/>
              <w:rPr>
                <w:sz w:val="6"/>
                <w:szCs w:val="6"/>
                <w:color w:val="auto"/>
              </w:rPr>
            </w:pPr>
          </w:p>
        </w:tc>
        <w:tc>
          <w:tcPr>
            <w:tcW w:w="30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clearing house and the government</w:t>
            </w: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3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00" w:type="dxa"/>
            <w:vAlign w:val="bottom"/>
            <w:tcBorders>
              <w:left w:val="single" w:sz="8" w:color="auto"/>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2660" w:type="dxa"/>
            <w:vAlign w:val="bottom"/>
            <w:tcBorders>
              <w:bottom w:val="single" w:sz="8" w:color="auto"/>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3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00" w:type="dxa"/>
            <w:vAlign w:val="bottom"/>
            <w:tcBorders>
              <w:bottom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Notes:</w:t>
      </w:r>
    </w:p>
    <w:p>
      <w:pPr>
        <w:ind w:left="560" w:hanging="324"/>
        <w:spacing w:after="0" w:line="220" w:lineRule="auto"/>
        <w:tabs>
          <w:tab w:leader="none" w:pos="5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available only to clients who opened trading accounts with us before October 10, 2017</w:t>
      </w:r>
    </w:p>
    <w:p>
      <w:pPr>
        <w:ind w:left="560" w:hanging="324"/>
        <w:spacing w:after="0"/>
        <w:tabs>
          <w:tab w:leader="none" w:pos="5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available since October 10, 2017</w:t>
      </w:r>
    </w:p>
    <w:p>
      <w:pPr>
        <w:spacing w:after="0" w:line="194" w:lineRule="exact"/>
        <w:rPr>
          <w:sz w:val="20"/>
          <w:szCs w:val="20"/>
          <w:color w:val="auto"/>
        </w:rPr>
      </w:pPr>
    </w:p>
    <w:p>
      <w:pPr>
        <w:ind w:left="240" w:right="40" w:firstLine="438"/>
        <w:spacing w:after="0" w:line="309" w:lineRule="auto"/>
        <w:rPr>
          <w:sz w:val="20"/>
          <w:szCs w:val="20"/>
          <w:color w:val="auto"/>
        </w:rPr>
      </w:pPr>
      <w:r>
        <w:rPr>
          <w:rFonts w:ascii="Arial" w:cs="Arial" w:eastAsia="Arial" w:hAnsi="Arial"/>
          <w:sz w:val="16"/>
          <w:szCs w:val="16"/>
          <w:color w:val="auto"/>
        </w:rPr>
        <w:t>In addition, we facilitate the trading of derivatives, such as warrants and callable bull/bear contracts, or CBBC on the Hong Kong markets and options on the U.S. markets. We also provide dark pool trading services and new share subscription services in relation to IPOs on the Hong Kong Stock Exchange. In addition, we have started providing API services which allow clients to trade through our platform using their own program.</w:t>
      </w:r>
    </w:p>
    <w:p>
      <w:pPr>
        <w:spacing w:after="0" w:line="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7"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firstLine="438"/>
        <w:spacing w:after="0" w:line="295" w:lineRule="auto"/>
        <w:rPr>
          <w:sz w:val="20"/>
          <w:szCs w:val="20"/>
          <w:color w:val="auto"/>
        </w:rPr>
      </w:pPr>
      <w:r>
        <w:rPr>
          <w:rFonts w:ascii="Arial" w:cs="Arial" w:eastAsia="Arial" w:hAnsi="Arial"/>
          <w:sz w:val="16"/>
          <w:szCs w:val="16"/>
          <w:color w:val="auto"/>
        </w:rPr>
        <w:t>In 2017, the total value for transactions executed on our platform with respect to securities listed on the Hong Kong Stock Exchange and the major stock exchanges in the U.S. reached approximately HK$299.0 billion (US$38.3 billion) and HK$218.9 billion (US$28.0 billion), respectively, compared to HK$106.0 billion and HK$89.8 billion in 2016. The brokerage commission and handling charge income we earned for securities traded on the Hong Kong Stock Exchange and the major stock exchanges in the U.S. accounted for 33.8% and 25.6% of our total revenues in 2017, respectively. As of December 31, 2016 and 2017, the total balance of client assets was HK$15.5 billion and HK$44.4 billion (US$5.7 billion), respectively.</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shows our daily average revenue trades for the relevant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167640</wp:posOffset>
            </wp:positionV>
            <wp:extent cx="4263390" cy="10490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63390" cy="1049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Margin financing and securities lending services</w:t>
      </w:r>
    </w:p>
    <w:p>
      <w:pPr>
        <w:spacing w:after="0" w:line="115" w:lineRule="exact"/>
        <w:rPr>
          <w:sz w:val="20"/>
          <w:szCs w:val="20"/>
          <w:color w:val="auto"/>
        </w:rPr>
      </w:pPr>
    </w:p>
    <w:p>
      <w:pPr>
        <w:ind w:left="240" w:right="240" w:firstLine="438"/>
        <w:spacing w:after="0" w:line="257" w:lineRule="auto"/>
        <w:rPr>
          <w:sz w:val="20"/>
          <w:szCs w:val="20"/>
          <w:color w:val="auto"/>
        </w:rPr>
      </w:pPr>
      <w:r>
        <w:rPr>
          <w:rFonts w:ascii="Arial" w:cs="Arial" w:eastAsia="Arial" w:hAnsi="Arial"/>
          <w:sz w:val="18"/>
          <w:szCs w:val="18"/>
          <w:color w:val="auto"/>
        </w:rPr>
        <w:t>Our margin financing and securities lending services provide real-time, cross-market securities-backed financing to our clients. We have grown these services rapidly since introduction, a reflection, we believe, of both our ability to cross-sell as well as our clients’ receptivity to increasingly sophisticated investing tools delivered seamlessly. As of June 30, 2018, 33.6% of our clients who had traded on our platform had used our margin financing and securities lending services.</w:t>
      </w:r>
    </w:p>
    <w:p>
      <w:pPr>
        <w:spacing w:after="0" w:line="188" w:lineRule="exact"/>
        <w:rPr>
          <w:sz w:val="20"/>
          <w:szCs w:val="20"/>
          <w:color w:val="auto"/>
        </w:rPr>
      </w:pPr>
    </w:p>
    <w:p>
      <w:pPr>
        <w:ind w:left="240" w:right="300" w:firstLine="438"/>
        <w:spacing w:after="0" w:line="254" w:lineRule="auto"/>
        <w:rPr>
          <w:sz w:val="20"/>
          <w:szCs w:val="20"/>
          <w:color w:val="auto"/>
        </w:rPr>
      </w:pPr>
      <w:r>
        <w:rPr>
          <w:rFonts w:ascii="Arial" w:cs="Arial" w:eastAsia="Arial" w:hAnsi="Arial"/>
          <w:sz w:val="18"/>
          <w:szCs w:val="18"/>
          <w:color w:val="auto"/>
        </w:rPr>
        <w:t>We currently offer margin financing to clients who trade securities listed on the Hong Kong Stock Exchange, the major stock exchanges in the U.S. as well as qualified securities under the Hong Kong, Shanghai and Shenzhen Stock Connect. All financing extended to our clients is secured by acceptable securities pledged to us. Our trading system can automatically pledge cross-market account assets so that the value in a client’s multiple trading accounts, which may include cash in different currencies and acceptable securities listed on the three markets, will be aggregated when calculating the value of the client’s collateral. In particular, this provides significant efficiencies as it eliminates the costs and procedures involved in cross-market currency translation or exchange.</w:t>
      </w:r>
    </w:p>
    <w:p>
      <w:pPr>
        <w:spacing w:after="0" w:line="190" w:lineRule="exact"/>
        <w:rPr>
          <w:sz w:val="20"/>
          <w:szCs w:val="20"/>
          <w:color w:val="auto"/>
        </w:rPr>
      </w:pPr>
    </w:p>
    <w:p>
      <w:pPr>
        <w:ind w:left="240" w:right="200" w:firstLine="438"/>
        <w:spacing w:after="0" w:line="257" w:lineRule="auto"/>
        <w:rPr>
          <w:sz w:val="20"/>
          <w:szCs w:val="20"/>
          <w:color w:val="auto"/>
        </w:rPr>
      </w:pPr>
      <w:r>
        <w:rPr>
          <w:rFonts w:ascii="Arial" w:cs="Arial" w:eastAsia="Arial" w:hAnsi="Arial"/>
          <w:sz w:val="18"/>
          <w:szCs w:val="18"/>
          <w:color w:val="auto"/>
        </w:rPr>
        <w:t>Our clients are eligible for margin financing services when they hold securities that are acceptable as pledges to us in their accounts. The credit line for each eligible client is determined based on the securities across all of his or her trading accounts. The margin financing services for eligible margin financing clients are activated automatically, when the funds in their accounts are not sufficient to purchase the desired securities and there are still sufficient balance in their credit lines.</w:t>
      </w:r>
    </w:p>
    <w:p>
      <w:pPr>
        <w:spacing w:after="0" w:line="188" w:lineRule="exact"/>
        <w:rPr>
          <w:sz w:val="20"/>
          <w:szCs w:val="20"/>
          <w:color w:val="auto"/>
        </w:rPr>
      </w:pPr>
    </w:p>
    <w:p>
      <w:pPr>
        <w:ind w:left="240" w:firstLine="438"/>
        <w:spacing w:after="0" w:line="272" w:lineRule="auto"/>
        <w:rPr>
          <w:sz w:val="20"/>
          <w:szCs w:val="20"/>
          <w:color w:val="auto"/>
        </w:rPr>
      </w:pPr>
      <w:r>
        <w:rPr>
          <w:rFonts w:ascii="Arial" w:cs="Arial" w:eastAsia="Arial" w:hAnsi="Arial"/>
          <w:sz w:val="17"/>
          <w:szCs w:val="17"/>
          <w:color w:val="auto"/>
        </w:rPr>
        <w:t>A list of securities acceptable as collateral to us and their respective margin ratios are regularly updated and shared with our clients. Our risk management team determines the margin ratio for each of the acceptable securities based on the trading frequency, historical price fluctuations and general market volatility. We also reference the financing terms of major financial institutions in establishing our margin ratios, and we typically find our margin requirements to be lower. We believe this has differentiated our risk controls. Our margin ratios are monitored in real-time and our risk management team reviews and adjusts the margin ratio for each acceptable security on a regular basis and more frequently in the case of a significant and rapid price decline. See “ —Risk Management—Margin Financing Risk Management.”</w:t>
      </w:r>
    </w:p>
    <w:p>
      <w:pPr>
        <w:spacing w:after="0" w:line="175" w:lineRule="exact"/>
        <w:rPr>
          <w:sz w:val="20"/>
          <w:szCs w:val="20"/>
          <w:color w:val="auto"/>
        </w:rPr>
      </w:pPr>
    </w:p>
    <w:p>
      <w:pPr>
        <w:ind w:left="240" w:right="200" w:firstLine="438"/>
        <w:spacing w:after="0" w:line="275" w:lineRule="auto"/>
        <w:rPr>
          <w:sz w:val="20"/>
          <w:szCs w:val="20"/>
          <w:color w:val="auto"/>
        </w:rPr>
      </w:pPr>
      <w:r>
        <w:rPr>
          <w:rFonts w:ascii="Arial" w:cs="Arial" w:eastAsia="Arial" w:hAnsi="Arial"/>
          <w:sz w:val="18"/>
          <w:szCs w:val="18"/>
          <w:color w:val="auto"/>
        </w:rPr>
        <w:t>We charge an annualized interest rate on margin financing, which was approximately 6.8%, 4.8% and 8.8%, respectively, for securities listed on the Hong Kong Stock Exchange, the major stock exchanges in the U.S.,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240" w:top="457"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340"/>
        <w:spacing w:after="0" w:line="257" w:lineRule="auto"/>
        <w:rPr>
          <w:sz w:val="20"/>
          <w:szCs w:val="20"/>
          <w:color w:val="auto"/>
        </w:rPr>
      </w:pPr>
      <w:r>
        <w:rPr>
          <w:rFonts w:ascii="Arial" w:cs="Arial" w:eastAsia="Arial" w:hAnsi="Arial"/>
          <w:sz w:val="18"/>
          <w:szCs w:val="18"/>
          <w:color w:val="auto"/>
        </w:rPr>
        <w:t>qualified securities under the Hong Kong, Shanghai and Shenzhen Stock Connect in 2017. In accordance with our risk control policy, the maximum aggregated financing a client can obtain is HK$20 million for acceptable securities listed on the Hong Kong Stock Exchange, US$2 million for acceptable securities listed on the major stock exchanges in the U.S. and RMB6 million for qualified securities under the Hong Kong, Shanghai and Shenzhen Stock Connect.</w:t>
      </w:r>
    </w:p>
    <w:p>
      <w:pPr>
        <w:spacing w:after="0" w:line="188" w:lineRule="exact"/>
        <w:rPr>
          <w:sz w:val="20"/>
          <w:szCs w:val="20"/>
          <w:color w:val="auto"/>
        </w:rPr>
      </w:pPr>
    </w:p>
    <w:p>
      <w:pPr>
        <w:ind w:left="240" w:firstLine="438"/>
        <w:spacing w:after="0" w:line="300" w:lineRule="auto"/>
        <w:rPr>
          <w:sz w:val="20"/>
          <w:szCs w:val="20"/>
          <w:color w:val="auto"/>
        </w:rPr>
      </w:pPr>
      <w:r>
        <w:rPr>
          <w:rFonts w:ascii="Arial" w:cs="Arial" w:eastAsia="Arial" w:hAnsi="Arial"/>
          <w:sz w:val="16"/>
          <w:szCs w:val="16"/>
          <w:color w:val="auto"/>
        </w:rPr>
        <w:t>For clients who trade securities listed on the major stock exchanges in the U.S., we offer securities lending services by lending securities we obtain from our securities lending partner. This service allows our clients to pursue short-selling strategies. To borrow securities, our clients must pledge cash or acceptable securities from in-house trading accounts. We charge our clients an annualized interest rate on behalf of our securities lending partner, plus an approximate 3% premium which we earn as a handling fee. We collect interest on behalf of our securities lending partner from our clients.</w:t>
      </w:r>
    </w:p>
    <w:p>
      <w:pPr>
        <w:spacing w:after="0" w:line="154" w:lineRule="exact"/>
        <w:rPr>
          <w:sz w:val="20"/>
          <w:szCs w:val="20"/>
          <w:color w:val="auto"/>
        </w:rPr>
      </w:pPr>
    </w:p>
    <w:p>
      <w:pPr>
        <w:ind w:left="240" w:right="180" w:firstLine="438"/>
        <w:spacing w:after="0" w:line="257" w:lineRule="auto"/>
        <w:rPr>
          <w:sz w:val="20"/>
          <w:szCs w:val="20"/>
          <w:color w:val="auto"/>
        </w:rPr>
      </w:pPr>
      <w:r>
        <w:rPr>
          <w:rFonts w:ascii="Arial" w:cs="Arial" w:eastAsia="Arial" w:hAnsi="Arial"/>
          <w:sz w:val="18"/>
          <w:szCs w:val="18"/>
          <w:color w:val="auto"/>
        </w:rPr>
        <w:t>When we launched our margin financing business, we financed mostly from our cash balance and shareholder loans. Since November 2015, however, we have diversified the source of our financing through collaboration with our financial institution partners where we can combine collateral from our clients into portfolios and pledge the portfolios to financial institutions for commercial loans. As of December 31, 2017, 86.0% of margin financing was financed through our financial institution partners.</w:t>
      </w:r>
    </w:p>
    <w:p>
      <w:pPr>
        <w:spacing w:after="0" w:line="188" w:lineRule="exact"/>
        <w:rPr>
          <w:sz w:val="20"/>
          <w:szCs w:val="20"/>
          <w:color w:val="auto"/>
        </w:rPr>
      </w:pPr>
    </w:p>
    <w:p>
      <w:pPr>
        <w:ind w:left="240" w:right="140" w:firstLine="438"/>
        <w:spacing w:after="0" w:line="289" w:lineRule="auto"/>
        <w:rPr>
          <w:sz w:val="20"/>
          <w:szCs w:val="20"/>
          <w:color w:val="auto"/>
        </w:rPr>
      </w:pPr>
      <w:r>
        <w:rPr>
          <w:rFonts w:ascii="Arial" w:cs="Arial" w:eastAsia="Arial" w:hAnsi="Arial"/>
          <w:sz w:val="16"/>
          <w:szCs w:val="16"/>
          <w:color w:val="auto"/>
        </w:rPr>
        <w:t>As of December 31, 2016 and 2017, our margin financing balance was HK$126.2 million and HK$2,865.0 million (US$366.7 million), respectively. For the years ended December 31, 2016 and 2017, our interest income derived from margin financing and securities lending business was</w:t>
      </w:r>
    </w:p>
    <w:p>
      <w:pPr>
        <w:spacing w:after="0" w:line="1" w:lineRule="exact"/>
        <w:rPr>
          <w:sz w:val="20"/>
          <w:szCs w:val="20"/>
          <w:color w:val="auto"/>
        </w:rPr>
      </w:pPr>
    </w:p>
    <w:p>
      <w:pPr>
        <w:ind w:left="240"/>
        <w:spacing w:after="0" w:line="258" w:lineRule="auto"/>
        <w:rPr>
          <w:sz w:val="20"/>
          <w:szCs w:val="20"/>
          <w:color w:val="auto"/>
        </w:rPr>
      </w:pPr>
      <w:r>
        <w:rPr>
          <w:rFonts w:ascii="Arial" w:cs="Arial" w:eastAsia="Arial" w:hAnsi="Arial"/>
          <w:sz w:val="18"/>
          <w:szCs w:val="18"/>
          <w:color w:val="auto"/>
        </w:rPr>
        <w:t>2.0% and 21.0% of our total revenues, respectively. We charge brokerage commission fees and platform service fees on margin trading and short selling. See “—Our Services—Trading, Clearing and Settlement.”</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User community</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We improve the investing experience of our users and clients by facilitating a social user community, </w:t>
      </w:r>
      <w:r>
        <w:rPr>
          <w:rFonts w:ascii="Arial" w:cs="Arial" w:eastAsia="Arial" w:hAnsi="Arial"/>
          <w:sz w:val="16"/>
          <w:szCs w:val="16"/>
          <w:i w:val="1"/>
          <w:iCs w:val="1"/>
          <w:color w:val="auto"/>
        </w:rPr>
        <w:t>NiuNiu Community</w:t>
      </w:r>
      <w:r>
        <w:rPr>
          <w:rFonts w:ascii="Arial" w:cs="Arial" w:eastAsia="Arial" w:hAnsi="Arial"/>
          <w:sz w:val="16"/>
          <w:szCs w:val="16"/>
          <w:color w:val="auto"/>
        </w:rPr>
        <w:t>, embedded within our</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Futu NiuNiu </w:t>
      </w:r>
      <w:r>
        <w:rPr>
          <w:rFonts w:ascii="Arial" w:cs="Arial" w:eastAsia="Arial" w:hAnsi="Arial"/>
          <w:sz w:val="17"/>
          <w:szCs w:val="17"/>
          <w:color w:val="auto"/>
        </w:rPr>
        <w:t>platform.</w:t>
      </w:r>
      <w:r>
        <w:rPr>
          <w:rFonts w:ascii="Arial" w:cs="Arial" w:eastAsia="Arial" w:hAnsi="Arial"/>
          <w:sz w:val="17"/>
          <w:szCs w:val="17"/>
          <w:i w:val="1"/>
          <w:iCs w:val="1"/>
          <w:color w:val="auto"/>
        </w:rPr>
        <w:t xml:space="preserve"> NiuNiu Community </w:t>
      </w:r>
      <w:r>
        <w:rPr>
          <w:rFonts w:ascii="Arial" w:cs="Arial" w:eastAsia="Arial" w:hAnsi="Arial"/>
          <w:sz w:val="17"/>
          <w:szCs w:val="17"/>
          <w:color w:val="auto"/>
        </w:rPr>
        <w:t>serves as an open forum for users and clients to share insights, ask questions and exchange ideas.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Specifically, </w:t>
      </w:r>
      <w:r>
        <w:rPr>
          <w:rFonts w:ascii="Arial" w:cs="Arial" w:eastAsia="Arial" w:hAnsi="Arial"/>
          <w:sz w:val="18"/>
          <w:szCs w:val="18"/>
          <w:i w:val="1"/>
          <w:iCs w:val="1"/>
          <w:color w:val="auto"/>
        </w:rPr>
        <w:t>NiuNiu Community</w:t>
      </w:r>
      <w:r>
        <w:rPr>
          <w:rFonts w:ascii="Arial" w:cs="Arial" w:eastAsia="Arial" w:hAnsi="Arial"/>
          <w:sz w:val="18"/>
          <w:szCs w:val="18"/>
          <w:color w:val="auto"/>
        </w:rPr>
        <w:t xml:space="preserve"> offers the following unique features:</w:t>
      </w:r>
    </w:p>
    <w:p>
      <w:pPr>
        <w:spacing w:after="0" w:line="114" w:lineRule="exact"/>
        <w:rPr>
          <w:sz w:val="20"/>
          <w:szCs w:val="20"/>
          <w:color w:val="auto"/>
        </w:rPr>
      </w:pPr>
    </w:p>
    <w:p>
      <w:pPr>
        <w:ind w:left="1100" w:right="60" w:hanging="435"/>
        <w:spacing w:after="0" w:line="275" w:lineRule="auto"/>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community diversity, as users and clients can interact directly with their peers, company executives and thought leaders within the investing community, such as financial journalists and academics;</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extensive content, ranging in complexity from investing basics to sophisticated analytical guides for professional investors;</w:t>
      </w:r>
    </w:p>
    <w:p>
      <w:pPr>
        <w:spacing w:after="0" w:line="128" w:lineRule="exact"/>
        <w:rPr>
          <w:rFonts w:ascii="Arial" w:cs="Arial" w:eastAsia="Arial" w:hAnsi="Arial"/>
          <w:sz w:val="18"/>
          <w:szCs w:val="18"/>
          <w:color w:val="auto"/>
        </w:rPr>
      </w:pPr>
    </w:p>
    <w:p>
      <w:pPr>
        <w:ind w:left="1100" w:right="200" w:hanging="435"/>
        <w:spacing w:after="0" w:line="275" w:lineRule="auto"/>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digital delivery, as all our content is designed for digital consumption and delivered through diversified media formats, such as short-form videos and presentation slides;</w:t>
      </w:r>
    </w:p>
    <w:p>
      <w:pPr>
        <w:spacing w:after="0" w:line="76" w:lineRule="exact"/>
        <w:rPr>
          <w:rFonts w:ascii="Arial" w:cs="Arial" w:eastAsia="Arial" w:hAnsi="Arial"/>
          <w:sz w:val="18"/>
          <w:szCs w:val="18"/>
          <w:color w:val="auto"/>
        </w:rPr>
      </w:pPr>
    </w:p>
    <w:p>
      <w:pPr>
        <w:ind w:left="1100" w:hanging="435"/>
        <w:spacing w:after="0" w:line="275" w:lineRule="auto"/>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gamification, as we employ game design elements within our platform such as investment and engagement scoring, which serves to simulate the investing experience and better prepare our users and clients for real-world investing; and</w:t>
      </w:r>
    </w:p>
    <w:p>
      <w:pPr>
        <w:spacing w:after="0" w:line="76" w:lineRule="exact"/>
        <w:rPr>
          <w:rFonts w:ascii="Arial" w:cs="Arial" w:eastAsia="Arial" w:hAnsi="Arial"/>
          <w:sz w:val="18"/>
          <w:szCs w:val="18"/>
          <w:color w:val="auto"/>
        </w:rPr>
      </w:pPr>
    </w:p>
    <w:p>
      <w:pPr>
        <w:ind w:left="1100" w:right="280" w:hanging="435"/>
        <w:spacing w:after="0" w:line="275" w:lineRule="auto"/>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platform influence, as we use </w:t>
      </w:r>
      <w:r>
        <w:rPr>
          <w:rFonts w:ascii="Arial" w:cs="Arial" w:eastAsia="Arial" w:hAnsi="Arial"/>
          <w:sz w:val="18"/>
          <w:szCs w:val="18"/>
          <w:i w:val="1"/>
          <w:iCs w:val="1"/>
          <w:color w:val="auto"/>
        </w:rPr>
        <w:t>NiuNiu Community</w:t>
      </w:r>
      <w:r>
        <w:rPr>
          <w:rFonts w:ascii="Arial" w:cs="Arial" w:eastAsia="Arial" w:hAnsi="Arial"/>
          <w:sz w:val="18"/>
          <w:szCs w:val="18"/>
          <w:color w:val="auto"/>
        </w:rPr>
        <w:t xml:space="preserve"> as an important source of both direct (communicated) and indirect (observed) feedback that we use to consistently evolve our platform.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Services</w:t>
      </w:r>
    </w:p>
    <w:p>
      <w:pPr>
        <w:spacing w:after="0" w:line="115" w:lineRule="exact"/>
        <w:rPr>
          <w:sz w:val="20"/>
          <w:szCs w:val="20"/>
          <w:color w:val="auto"/>
        </w:rPr>
      </w:pPr>
    </w:p>
    <w:p>
      <w:pPr>
        <w:ind w:left="240" w:right="440" w:firstLine="438"/>
        <w:spacing w:after="0" w:line="262" w:lineRule="auto"/>
        <w:rPr>
          <w:sz w:val="20"/>
          <w:szCs w:val="20"/>
          <w:color w:val="auto"/>
        </w:rPr>
      </w:pPr>
      <w:r>
        <w:rPr>
          <w:rFonts w:ascii="Arial" w:cs="Arial" w:eastAsia="Arial" w:hAnsi="Arial"/>
          <w:sz w:val="18"/>
          <w:szCs w:val="18"/>
          <w:color w:val="auto"/>
        </w:rPr>
        <w:t>We help corporate clients establish and administer the platforms of their employee stock option plans (ESOP). In this capacity we are able to nurture relationships with both corporate clients and their employees who become our retail clients, serving the dual purpose of diversifying our revenues and acquiring retail clients.</w:t>
      </w:r>
    </w:p>
    <w:p>
      <w:pPr>
        <w:spacing w:after="0" w:line="87" w:lineRule="exact"/>
        <w:rPr>
          <w:sz w:val="20"/>
          <w:szCs w:val="20"/>
          <w:color w:val="auto"/>
        </w:rPr>
      </w:pPr>
    </w:p>
    <w:p>
      <w:pPr>
        <w:ind w:left="1100" w:right="200" w:hanging="435"/>
        <w:spacing w:after="0" w:line="275" w:lineRule="auto"/>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Corporate Engagement</w:t>
      </w:r>
      <w:r>
        <w:rPr>
          <w:rFonts w:ascii="Arial" w:cs="Arial" w:eastAsia="Arial" w:hAnsi="Arial"/>
          <w:sz w:val="18"/>
          <w:szCs w:val="18"/>
          <w:color w:val="auto"/>
        </w:rPr>
        <w:t>. We help corporate clients execute and administer employee stock incentive plans. This includes all workflow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surrounding ESOP fulfillment, including employee communications and records management.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7"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100" w:right="60" w:hanging="435"/>
        <w:spacing w:after="0" w:line="277" w:lineRule="auto"/>
        <w:tabs>
          <w:tab w:leader="none" w:pos="11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Investor Engagement</w:t>
      </w:r>
      <w:r>
        <w:rPr>
          <w:rFonts w:ascii="Arial" w:cs="Arial" w:eastAsia="Arial" w:hAnsi="Arial"/>
          <w:sz w:val="17"/>
          <w:szCs w:val="17"/>
          <w:color w:val="auto"/>
        </w:rPr>
        <w:t>. Through our corporate engagement, we are introduced to potential retail clients, many of whom we convert into</w:t>
      </w:r>
      <w:r>
        <w:rPr>
          <w:rFonts w:ascii="Arial" w:cs="Arial" w:eastAsia="Arial" w:hAnsi="Arial"/>
          <w:sz w:val="17"/>
          <w:szCs w:val="17"/>
          <w:i w:val="1"/>
          <w:iCs w:val="1"/>
          <w:color w:val="auto"/>
        </w:rPr>
        <w:t xml:space="preserve"> </w:t>
      </w:r>
      <w:r>
        <w:rPr>
          <w:rFonts w:ascii="Arial" w:cs="Arial" w:eastAsia="Arial" w:hAnsi="Arial"/>
          <w:sz w:val="17"/>
          <w:szCs w:val="17"/>
          <w:color w:val="auto"/>
        </w:rPr>
        <w:t>clients over time. We provide employees of our corporate clients with an online platform to review award agreements, monitor and exercise options and restricted share units (RSUs) and manage associated tax liabilities. By opening trading accounts, employees of our corporate clients are able to receive and manage the proceeds from their exercised options and RSUs.</w:t>
      </w:r>
    </w:p>
    <w:p>
      <w:pPr>
        <w:spacing w:after="0" w:line="172"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color w:val="auto"/>
        </w:rPr>
        <w:t>In addition, our corporate services have served as an entry point for distribution of shares from our corporate clients’ initial public offerings on the Hong Kong Stock Exchange. We work with certain of our corporate clients to distribute their shares to high-quality retail investors through our distribution services. We have recently served as a joint bookrunner of a number of high profile initial public offerings on the Hong Kong Stock Exchange of our corporate clients, including Xiaomi and Meituan.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Users and Clients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Demographic</w:t>
      </w:r>
    </w:p>
    <w:p>
      <w:pPr>
        <w:spacing w:after="0" w:line="115" w:lineRule="exact"/>
        <w:rPr>
          <w:sz w:val="20"/>
          <w:szCs w:val="20"/>
          <w:color w:val="auto"/>
        </w:rPr>
      </w:pPr>
    </w:p>
    <w:p>
      <w:pPr>
        <w:ind w:left="240" w:right="580" w:firstLine="438"/>
        <w:spacing w:after="0" w:line="275" w:lineRule="auto"/>
        <w:rPr>
          <w:sz w:val="20"/>
          <w:szCs w:val="20"/>
          <w:color w:val="auto"/>
        </w:rPr>
      </w:pPr>
      <w:r>
        <w:rPr>
          <w:rFonts w:ascii="Arial" w:cs="Arial" w:eastAsia="Arial" w:hAnsi="Arial"/>
          <w:sz w:val="18"/>
          <w:szCs w:val="18"/>
          <w:color w:val="auto"/>
        </w:rPr>
        <w:t>As of June 30, 2018, we had 4.8 million users on our platform, among which more than 373,000 were our registered clients and more than 109,000 were paying clients.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Users</w:t>
      </w:r>
    </w:p>
    <w:p>
      <w:pPr>
        <w:spacing w:after="0" w:line="115" w:lineRule="exact"/>
        <w:rPr>
          <w:sz w:val="20"/>
          <w:szCs w:val="20"/>
          <w:color w:val="auto"/>
        </w:rPr>
      </w:pPr>
    </w:p>
    <w:p>
      <w:pPr>
        <w:ind w:left="240" w:right="140" w:firstLine="438"/>
        <w:spacing w:after="0" w:line="305" w:lineRule="auto"/>
        <w:rPr>
          <w:sz w:val="20"/>
          <w:szCs w:val="20"/>
          <w:color w:val="auto"/>
        </w:rPr>
      </w:pPr>
      <w:r>
        <w:rPr>
          <w:rFonts w:ascii="Arial" w:cs="Arial" w:eastAsia="Arial" w:hAnsi="Arial"/>
          <w:sz w:val="17"/>
          <w:szCs w:val="17"/>
          <w:color w:val="auto"/>
        </w:rPr>
        <w:t xml:space="preserve">Our users engage </w:t>
      </w:r>
      <w:r>
        <w:rPr>
          <w:rFonts w:ascii="Arial" w:cs="Arial" w:eastAsia="Arial" w:hAnsi="Arial"/>
          <w:sz w:val="17"/>
          <w:szCs w:val="17"/>
          <w:i w:val="1"/>
          <w:iCs w:val="1"/>
          <w:color w:val="auto"/>
        </w:rPr>
        <w:t>Futu NiuNiu</w:t>
      </w:r>
      <w:r>
        <w:rPr>
          <w:rFonts w:ascii="Arial" w:cs="Arial" w:eastAsia="Arial" w:hAnsi="Arial"/>
          <w:sz w:val="17"/>
          <w:szCs w:val="17"/>
          <w:color w:val="auto"/>
        </w:rPr>
        <w:t xml:space="preserve"> by downloading our mobile or desktop applications, or visiting our website, and registering a user account. Users are able to receive market data, selected research and other information services and engage in the </w:t>
      </w:r>
      <w:r>
        <w:rPr>
          <w:rFonts w:ascii="Arial" w:cs="Arial" w:eastAsia="Arial" w:hAnsi="Arial"/>
          <w:sz w:val="17"/>
          <w:szCs w:val="17"/>
          <w:i w:val="1"/>
          <w:iCs w:val="1"/>
          <w:color w:val="auto"/>
        </w:rPr>
        <w:t>NiuNiu Community</w:t>
      </w:r>
      <w:r>
        <w:rPr>
          <w:rFonts w:ascii="Arial" w:cs="Arial" w:eastAsia="Arial" w:hAnsi="Arial"/>
          <w:sz w:val="17"/>
          <w:szCs w:val="17"/>
          <w:color w:val="auto"/>
        </w:rPr>
        <w:t xml:space="preserve"> free of charge.</w:t>
      </w:r>
    </w:p>
    <w:p>
      <w:pPr>
        <w:spacing w:after="0" w:line="148" w:lineRule="exact"/>
        <w:rPr>
          <w:sz w:val="20"/>
          <w:szCs w:val="20"/>
          <w:color w:val="auto"/>
        </w:rPr>
      </w:pPr>
    </w:p>
    <w:p>
      <w:pPr>
        <w:jc w:val="both"/>
        <w:ind w:left="240" w:right="520" w:firstLine="438"/>
        <w:spacing w:after="0" w:line="257" w:lineRule="auto"/>
        <w:rPr>
          <w:sz w:val="20"/>
          <w:szCs w:val="20"/>
          <w:color w:val="auto"/>
        </w:rPr>
      </w:pPr>
      <w:r>
        <w:rPr>
          <w:rFonts w:ascii="Arial" w:cs="Arial" w:eastAsia="Arial" w:hAnsi="Arial"/>
          <w:sz w:val="18"/>
          <w:szCs w:val="18"/>
          <w:color w:val="auto"/>
        </w:rPr>
        <w:t xml:space="preserve">Our user base has grown from 3.2 million as of December 31, 2016 to 3.9 million as of December 31, 2017 and further to 4.8 million as of June 30, 2018. Among our total users, we had 557,395 MAUs in June 2018, as compared to 304,660 in December 2017. In June 2018, we had an average of 154,699 DAUs, compared to 111,109 in December 2017. In June 2018, the average time spent by a DAU on our </w:t>
      </w:r>
      <w:r>
        <w:rPr>
          <w:rFonts w:ascii="Arial" w:cs="Arial" w:eastAsia="Arial" w:hAnsi="Arial"/>
          <w:sz w:val="18"/>
          <w:szCs w:val="18"/>
          <w:i w:val="1"/>
          <w:iCs w:val="1"/>
          <w:color w:val="auto"/>
        </w:rPr>
        <w:t>Futu NiuNiu</w:t>
      </w:r>
      <w:r>
        <w:rPr>
          <w:rFonts w:ascii="Arial" w:cs="Arial" w:eastAsia="Arial" w:hAnsi="Arial"/>
          <w:sz w:val="18"/>
          <w:szCs w:val="18"/>
          <w:color w:val="auto"/>
        </w:rPr>
        <w:t xml:space="preserve"> mobile application was 26 minutes per day.</w:t>
      </w:r>
    </w:p>
    <w:p>
      <w:pPr>
        <w:spacing w:after="0" w:line="188" w:lineRule="exact"/>
        <w:rPr>
          <w:sz w:val="20"/>
          <w:szCs w:val="20"/>
          <w:color w:val="auto"/>
        </w:rPr>
      </w:pPr>
    </w:p>
    <w:p>
      <w:pPr>
        <w:ind w:left="240" w:right="100" w:firstLine="438"/>
        <w:spacing w:after="0" w:line="275" w:lineRule="auto"/>
        <w:rPr>
          <w:sz w:val="20"/>
          <w:szCs w:val="20"/>
          <w:color w:val="auto"/>
        </w:rPr>
      </w:pPr>
      <w:r>
        <w:rPr>
          <w:rFonts w:ascii="Arial" w:cs="Arial" w:eastAsia="Arial" w:hAnsi="Arial"/>
          <w:sz w:val="18"/>
          <w:szCs w:val="18"/>
          <w:color w:val="auto"/>
        </w:rPr>
        <w:t>Users who have not opened trading accounts with us represent an important pipeline for our client acquisition. For the six months ended June 30, 2018, 57.0% of our new clients were converted from our existing users.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Clients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Our client base has grown from 148,320 as of December 31, 2016 to 286,502 as of December 31, 2017 and further to over 373,183 as of June 30,</w:t>
      </w:r>
    </w:p>
    <w:p>
      <w:pPr>
        <w:spacing w:after="0" w:line="45" w:lineRule="exact"/>
        <w:rPr>
          <w:sz w:val="20"/>
          <w:szCs w:val="20"/>
          <w:color w:val="auto"/>
        </w:rPr>
      </w:pPr>
    </w:p>
    <w:p>
      <w:pPr>
        <w:ind w:left="240" w:right="400"/>
        <w:spacing w:after="0" w:line="258" w:lineRule="auto"/>
        <w:rPr>
          <w:sz w:val="20"/>
          <w:szCs w:val="20"/>
          <w:color w:val="auto"/>
        </w:rPr>
      </w:pPr>
      <w:r>
        <w:rPr>
          <w:rFonts w:ascii="Arial" w:cs="Arial" w:eastAsia="Arial" w:hAnsi="Arial"/>
          <w:sz w:val="18"/>
          <w:szCs w:val="18"/>
          <w:color w:val="auto"/>
        </w:rPr>
        <w:t>2018. During the six months ended June 30, 2018, on average, among the clients who visited our platform at least once, a client visited 16 days per month. Since January 2017, we have maintained a paying client churn rate below 3% on a quarterly basis.</w:t>
      </w:r>
    </w:p>
    <w:p>
      <w:pPr>
        <w:spacing w:after="0" w:line="185"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Our clients are generally high earning. As of June 30, 2018, approximately 45.2% of our clients worked in the internet, finance or information technology. In addition, our clients are generally young. As of June 30, 2018, the average age of our clients was 34. The demographics of our client base are substantially the same as our broader user base.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User and client acquisition</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acquire new users and clients organically as well as through our corporate services and traditional online and offline marketing channels.</w:t>
      </w:r>
    </w:p>
    <w:p>
      <w:pPr>
        <w:spacing w:after="0" w:line="1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60"/>
          </w:cols>
          <w:pgMar w:left="240" w:top="457"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For the six months ended June 30, 2018, approximately 53.8% of our new clients were acquired organically. For the same period, we acquired</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18.4% of our new clients through corporate services. For example, through providing ESOP services, we are able to directly connect with the employees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our corporate clients once an employee ESOP account has been established.</w:t>
      </w:r>
    </w:p>
    <w:p>
      <w:pPr>
        <w:spacing w:after="0" w:line="208"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We also acquire clients through marketing campaigns, including commercials delivered through social media platforms, internet TV and short-form video platforms. From time to time, we run platform promotions by offering free commissions for clients who open trading accounts with us within a certain period of time and various rewards to encourage client referrals.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User and client experience</w:t>
      </w:r>
    </w:p>
    <w:p>
      <w:pPr>
        <w:spacing w:after="0" w:line="115" w:lineRule="exact"/>
        <w:rPr>
          <w:sz w:val="20"/>
          <w:szCs w:val="20"/>
          <w:color w:val="auto"/>
        </w:rPr>
      </w:pPr>
    </w:p>
    <w:p>
      <w:pPr>
        <w:ind w:left="240" w:right="200" w:firstLine="438"/>
        <w:spacing w:after="0" w:line="254" w:lineRule="auto"/>
        <w:rPr>
          <w:sz w:val="20"/>
          <w:szCs w:val="20"/>
          <w:color w:val="auto"/>
        </w:rPr>
      </w:pPr>
      <w:r>
        <w:rPr>
          <w:rFonts w:ascii="Arial" w:cs="Arial" w:eastAsia="Arial" w:hAnsi="Arial"/>
          <w:sz w:val="18"/>
          <w:szCs w:val="18"/>
          <w:color w:val="auto"/>
        </w:rPr>
        <w:t>We have developed our proprietary and customized customer service system to connect our users and clients with our customer service staff and technology experts. Users and clients are able to reach our customer service representatives and technology specialists around the clock. Our customer service representatives receive regular training regarding our platform and services as well as critical communication skills such as managing client complaints and other troubleshooting. We document user and client behavior, as well as complaints and feedback, and apply advanced analytical methods to leverage our datasets to better anticipate further areas of improvement. All clients who raise complaints and suggestions will receive feedback within 24 hours.</w:t>
      </w:r>
    </w:p>
    <w:p>
      <w:pPr>
        <w:spacing w:after="0" w:line="190"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color w:val="auto"/>
        </w:rPr>
        <w:t xml:space="preserve">We proactively seek user and client feedback. For example, we initiate online communications and activities on major social media and our </w:t>
      </w:r>
      <w:r>
        <w:rPr>
          <w:rFonts w:ascii="Arial" w:cs="Arial" w:eastAsia="Arial" w:hAnsi="Arial"/>
          <w:sz w:val="18"/>
          <w:szCs w:val="18"/>
          <w:i w:val="1"/>
          <w:iCs w:val="1"/>
          <w:color w:val="auto"/>
        </w:rPr>
        <w:t xml:space="preserve">NiuNiu Community </w:t>
      </w:r>
      <w:r>
        <w:rPr>
          <w:rFonts w:ascii="Arial" w:cs="Arial" w:eastAsia="Arial" w:hAnsi="Arial"/>
          <w:sz w:val="18"/>
          <w:szCs w:val="18"/>
          <w:color w:val="auto"/>
        </w:rPr>
        <w:t>to seek feedback from our users and clients about their investing experience. We reach out to our most active clients to discuss their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with our platform and solicit ways in which we can improve.</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Technology</w:t>
      </w:r>
    </w:p>
    <w:p>
      <w:pPr>
        <w:spacing w:after="0" w:line="119" w:lineRule="exact"/>
        <w:rPr>
          <w:sz w:val="20"/>
          <w:szCs w:val="20"/>
          <w:color w:val="auto"/>
        </w:rPr>
      </w:pPr>
    </w:p>
    <w:p>
      <w:pPr>
        <w:jc w:val="both"/>
        <w:ind w:left="240" w:right="20" w:firstLine="438"/>
        <w:spacing w:after="0" w:line="277" w:lineRule="auto"/>
        <w:rPr>
          <w:sz w:val="20"/>
          <w:szCs w:val="20"/>
          <w:color w:val="auto"/>
        </w:rPr>
      </w:pPr>
      <w:r>
        <w:rPr>
          <w:rFonts w:ascii="Arial" w:cs="Arial" w:eastAsia="Arial" w:hAnsi="Arial"/>
          <w:sz w:val="17"/>
          <w:szCs w:val="17"/>
          <w:color w:val="auto"/>
        </w:rPr>
        <w:t>We have developed a proprietary and highly automated technology infrastructure including integrated account, trading, clearing, risk management and business and operation systems, to support each aspect of our business. The purpose-built nature of our technology provides two crucial advantages. First, our platform is adaptable and we can react quickly to industry and regulatory change. Second, our platform is highly scalable. Our client base grew by 93.2% while our headcount only increased by 39.9% from December 31, 2016 to December 31, 2017.</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Industry-leading integrated cross-market system</w:t>
      </w:r>
    </w:p>
    <w:p>
      <w:pPr>
        <w:spacing w:after="0" w:line="115" w:lineRule="exact"/>
        <w:rPr>
          <w:sz w:val="20"/>
          <w:szCs w:val="20"/>
          <w:color w:val="auto"/>
        </w:rPr>
      </w:pPr>
    </w:p>
    <w:p>
      <w:pPr>
        <w:ind w:left="240" w:right="20" w:firstLine="438"/>
        <w:spacing w:after="0" w:line="257" w:lineRule="auto"/>
        <w:rPr>
          <w:sz w:val="20"/>
          <w:szCs w:val="20"/>
          <w:color w:val="auto"/>
        </w:rPr>
      </w:pPr>
      <w:r>
        <w:rPr>
          <w:rFonts w:ascii="Arial" w:cs="Arial" w:eastAsia="Arial" w:hAnsi="Arial"/>
          <w:sz w:val="18"/>
          <w:szCs w:val="18"/>
          <w:color w:val="auto"/>
        </w:rPr>
        <w:t>We operate an easy-to-use and integrated cross-market system which allows our clients to execute trades on all three markets from a single platform. We developed this system internally, with unified functionality extending from core trading to risk management as well as multi-currency, multi-market real-time settlement. This allows our clients to effectively view the markets we serve as a unified market, and avoid many of the traditional frictions associated with cross-market trading.</w:t>
      </w:r>
    </w:p>
    <w:p>
      <w:pPr>
        <w:spacing w:after="0" w:line="188" w:lineRule="exact"/>
        <w:rPr>
          <w:sz w:val="20"/>
          <w:szCs w:val="20"/>
          <w:color w:val="auto"/>
        </w:rPr>
      </w:pPr>
    </w:p>
    <w:p>
      <w:pPr>
        <w:jc w:val="both"/>
        <w:ind w:left="240" w:right="40" w:firstLine="438"/>
        <w:spacing w:after="0" w:line="257" w:lineRule="auto"/>
        <w:rPr>
          <w:sz w:val="20"/>
          <w:szCs w:val="20"/>
          <w:color w:val="auto"/>
        </w:rPr>
      </w:pPr>
      <w:r>
        <w:rPr>
          <w:rFonts w:ascii="Arial" w:cs="Arial" w:eastAsia="Arial" w:hAnsi="Arial"/>
          <w:sz w:val="18"/>
          <w:szCs w:val="18"/>
          <w:color w:val="auto"/>
        </w:rPr>
        <w:t>We have developed an interconnected set of online brokerage process systems to support our cross-market trading function efficiently. Our system uses modular architecture to abstract all tasks and steps involved in the online brokerage process, configure new business processes and quickly support any evolving business needs. Our system features real-time advanced service-level-agreement (SLA) monitoring and quality monitoring services, and is able to ensure consistent superior client experience.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Highly stable and scalable system</w:t>
      </w:r>
    </w:p>
    <w:p>
      <w:pPr>
        <w:spacing w:after="0" w:line="115" w:lineRule="exact"/>
        <w:rPr>
          <w:sz w:val="20"/>
          <w:szCs w:val="20"/>
          <w:color w:val="auto"/>
        </w:rPr>
      </w:pPr>
    </w:p>
    <w:p>
      <w:pPr>
        <w:ind w:left="240" w:right="100" w:firstLine="438"/>
        <w:spacing w:after="0" w:line="275" w:lineRule="auto"/>
        <w:rPr>
          <w:sz w:val="20"/>
          <w:szCs w:val="20"/>
          <w:color w:val="auto"/>
        </w:rPr>
      </w:pPr>
      <w:r>
        <w:rPr>
          <w:rFonts w:ascii="Arial" w:cs="Arial" w:eastAsia="Arial" w:hAnsi="Arial"/>
          <w:sz w:val="18"/>
          <w:szCs w:val="18"/>
          <w:color w:val="auto"/>
        </w:rPr>
        <w:t>We use distributed infrastructure as the foundation for our trading system, employing a number of interrelated servers in order to mitigate the risk of a single server disrupting the whole system. In the event an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7"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20"/>
        <w:spacing w:after="0" w:line="262" w:lineRule="auto"/>
        <w:rPr>
          <w:sz w:val="20"/>
          <w:szCs w:val="20"/>
          <w:color w:val="auto"/>
        </w:rPr>
      </w:pPr>
      <w:r>
        <w:rPr>
          <w:rFonts w:ascii="Arial" w:cs="Arial" w:eastAsia="Arial" w:hAnsi="Arial"/>
          <w:sz w:val="18"/>
          <w:szCs w:val="18"/>
          <w:color w:val="auto"/>
        </w:rPr>
        <w:t>error occurs with any single server, our distributed technology ensures an immediate and automatic switch to additional servers to ensure continuous operation. Our overall system achieved a 99.98% availability rate in the first half of 2018, and our core servers are deployed in different locations as a matter of disaster avoidance and recovery.</w:t>
      </w:r>
    </w:p>
    <w:p>
      <w:pPr>
        <w:spacing w:after="0" w:line="181" w:lineRule="exact"/>
        <w:rPr>
          <w:sz w:val="20"/>
          <w:szCs w:val="20"/>
          <w:color w:val="auto"/>
        </w:rPr>
      </w:pPr>
    </w:p>
    <w:p>
      <w:pPr>
        <w:ind w:left="240" w:right="80" w:firstLine="438"/>
        <w:spacing w:after="0" w:line="309" w:lineRule="auto"/>
        <w:rPr>
          <w:sz w:val="20"/>
          <w:szCs w:val="20"/>
          <w:color w:val="auto"/>
        </w:rPr>
      </w:pPr>
      <w:r>
        <w:rPr>
          <w:rFonts w:ascii="Arial" w:cs="Arial" w:eastAsia="Arial" w:hAnsi="Arial"/>
          <w:sz w:val="16"/>
          <w:szCs w:val="16"/>
          <w:color w:val="auto"/>
        </w:rPr>
        <w:t>Our platform adopts modular architecture that consists of multiple connected components, each of which can be separately upgraded and replaced without compromising the functionality of other components. If we experience a sudden surge in activity or trading volume, we can execute a system expansion within ten minutes and the overall architecture can support more than ten times the peak activity level of the current platform.</w:t>
      </w:r>
    </w:p>
    <w:p>
      <w:pPr>
        <w:spacing w:after="0" w:line="149" w:lineRule="exact"/>
        <w:rPr>
          <w:sz w:val="20"/>
          <w:szCs w:val="20"/>
          <w:color w:val="auto"/>
        </w:rPr>
      </w:pPr>
    </w:p>
    <w:p>
      <w:pPr>
        <w:ind w:left="240" w:right="180" w:firstLine="438"/>
        <w:spacing w:after="0" w:line="257" w:lineRule="auto"/>
        <w:rPr>
          <w:sz w:val="20"/>
          <w:szCs w:val="20"/>
          <w:color w:val="auto"/>
        </w:rPr>
      </w:pPr>
      <w:r>
        <w:rPr>
          <w:rFonts w:ascii="Arial" w:cs="Arial" w:eastAsia="Arial" w:hAnsi="Arial"/>
          <w:sz w:val="18"/>
          <w:szCs w:val="18"/>
          <w:color w:val="auto"/>
        </w:rPr>
        <w:t>We utilize sophisticated user interface design technology and embed a number of modules in each user interface. By simply duplicating one specific existing user interface module as needed, we effectively improve the accuracy and efficiency of user interface development. At the same time, using modular design technology in our user interface development ensures the stability and consistency of UI performance and functionality among different user interfaces, which eventually improves user experience.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Agile research and development capability</w:t>
      </w:r>
    </w:p>
    <w:p>
      <w:pPr>
        <w:spacing w:after="0" w:line="115" w:lineRule="exact"/>
        <w:rPr>
          <w:sz w:val="20"/>
          <w:szCs w:val="20"/>
          <w:color w:val="auto"/>
        </w:rPr>
      </w:pPr>
    </w:p>
    <w:p>
      <w:pPr>
        <w:ind w:left="240" w:firstLine="438"/>
        <w:spacing w:after="0" w:line="300" w:lineRule="auto"/>
        <w:rPr>
          <w:sz w:val="20"/>
          <w:szCs w:val="20"/>
          <w:color w:val="auto"/>
        </w:rPr>
      </w:pPr>
      <w:r>
        <w:rPr>
          <w:rFonts w:ascii="Arial" w:cs="Arial" w:eastAsia="Arial" w:hAnsi="Arial"/>
          <w:sz w:val="16"/>
          <w:szCs w:val="16"/>
          <w:color w:val="auto"/>
        </w:rPr>
        <w:t>Through the construction of research and development tools and components, we improve our research and development efficiency while ensuring quality and system stability. In the first half of 2018, our technology team released 39 new versions of our mobile app. To further improve research and development efficiency, we built our activity configuration system with configurable template abstraction for various routine operational activities. The average launch cycle and necessary manpower for such activities have been effectively reduced compared to traditional development methods.</w:t>
      </w:r>
    </w:p>
    <w:p>
      <w:pPr>
        <w:spacing w:after="0" w:line="154" w:lineRule="exact"/>
        <w:rPr>
          <w:sz w:val="20"/>
          <w:szCs w:val="20"/>
          <w:color w:val="auto"/>
        </w:rPr>
      </w:pPr>
    </w:p>
    <w:p>
      <w:pPr>
        <w:ind w:left="240" w:right="100" w:firstLine="438"/>
        <w:spacing w:after="0" w:line="254" w:lineRule="auto"/>
        <w:rPr>
          <w:sz w:val="20"/>
          <w:szCs w:val="20"/>
          <w:color w:val="auto"/>
        </w:rPr>
      </w:pPr>
      <w:r>
        <w:rPr>
          <w:rFonts w:ascii="Arial" w:cs="Arial" w:eastAsia="Arial" w:hAnsi="Arial"/>
          <w:sz w:val="18"/>
          <w:szCs w:val="18"/>
          <w:color w:val="auto"/>
        </w:rPr>
        <w:t>In addition, we believe that our heavily tech- and research- and development-oriented employee structure lays a solid foundation for our ability to continually develop innovative solutions and enhance our existing service offerings. Our research and development teams are primarily organized into three teams, including a platform and trading development team, a client development team and a web development team. Our core research and development team consists of experienced engineers and technology experts with five to ten years’ experience in structure design supporting massive transactions, and the majority of them have work experience with leading internet and technology platforms in China. Most of our research and development personnel are based in Shenzhen, China.</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Cloud-based operating and computing, big data, AI and deep learning capabilities</w:t>
      </w:r>
    </w:p>
    <w:p>
      <w:pPr>
        <w:spacing w:after="0" w:line="115" w:lineRule="exact"/>
        <w:rPr>
          <w:sz w:val="20"/>
          <w:szCs w:val="20"/>
          <w:color w:val="auto"/>
        </w:rPr>
      </w:pPr>
    </w:p>
    <w:p>
      <w:pPr>
        <w:ind w:left="240" w:right="60" w:firstLine="438"/>
        <w:spacing w:after="0" w:line="277" w:lineRule="auto"/>
        <w:rPr>
          <w:sz w:val="20"/>
          <w:szCs w:val="20"/>
          <w:color w:val="auto"/>
        </w:rPr>
      </w:pPr>
      <w:r>
        <w:rPr>
          <w:rFonts w:ascii="Arial" w:cs="Arial" w:eastAsia="Arial" w:hAnsi="Arial"/>
          <w:sz w:val="17"/>
          <w:szCs w:val="17"/>
          <w:color w:val="auto"/>
        </w:rPr>
        <w:t>Our entire system is built and run on high capacity, secure and efficient cloud-based operating systems. We currently operate 1,208 virtual servers built on five public clouds and 279 servers located in five self-built server rooms in China, Hong Kong and the United States. Due to the nature of our business and the services we offer, we have a high demand for storage and computing capacity. Specifically we store massive volumes of data generated and transmitted every second and we are constantly running algorithms to produce content recommendations.</w:t>
      </w:r>
    </w:p>
    <w:p>
      <w:pPr>
        <w:spacing w:after="0" w:line="172" w:lineRule="exact"/>
        <w:rPr>
          <w:sz w:val="20"/>
          <w:szCs w:val="20"/>
          <w:color w:val="auto"/>
        </w:rPr>
      </w:pPr>
    </w:p>
    <w:p>
      <w:pPr>
        <w:ind w:left="240" w:right="140" w:firstLine="438"/>
        <w:spacing w:after="0" w:line="262" w:lineRule="auto"/>
        <w:rPr>
          <w:sz w:val="20"/>
          <w:szCs w:val="20"/>
          <w:color w:val="auto"/>
        </w:rPr>
      </w:pPr>
      <w:r>
        <w:rPr>
          <w:rFonts w:ascii="Arial" w:cs="Arial" w:eastAsia="Arial" w:hAnsi="Arial"/>
          <w:sz w:val="18"/>
          <w:szCs w:val="18"/>
          <w:color w:val="auto"/>
        </w:rPr>
        <w:t>In addition, we employ advanced analytical methods to create detailed user profiles based on users’ actions such as posts, social engagement, trading habits and browsing history. We constantly update our user profiles, a process which is largely automated, and use the data and insights derived exclusively to further improve our services and user experience.</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 Management</w:t>
      </w:r>
    </w:p>
    <w:p>
      <w:pPr>
        <w:spacing w:after="0" w:line="227" w:lineRule="exact"/>
        <w:rPr>
          <w:sz w:val="20"/>
          <w:szCs w:val="20"/>
          <w:color w:val="auto"/>
        </w:rPr>
      </w:pPr>
    </w:p>
    <w:p>
      <w:pPr>
        <w:ind w:left="240" w:right="440" w:firstLine="438"/>
        <w:spacing w:after="0" w:line="275" w:lineRule="auto"/>
        <w:rPr>
          <w:sz w:val="20"/>
          <w:szCs w:val="20"/>
          <w:color w:val="auto"/>
        </w:rPr>
      </w:pPr>
      <w:r>
        <w:rPr>
          <w:rFonts w:ascii="Arial" w:cs="Arial" w:eastAsia="Arial" w:hAnsi="Arial"/>
          <w:sz w:val="18"/>
          <w:szCs w:val="18"/>
          <w:color w:val="auto"/>
        </w:rPr>
        <w:t>We have established a comprehensive and robust technology-driven risk management system to manage risks across our business and ensure compliance with relevant laws and regulations. Our risk management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7"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55" w:lineRule="auto"/>
        <w:rPr>
          <w:sz w:val="20"/>
          <w:szCs w:val="20"/>
          <w:color w:val="auto"/>
        </w:rPr>
      </w:pPr>
      <w:r>
        <w:rPr>
          <w:rFonts w:ascii="Arial" w:cs="Arial" w:eastAsia="Arial" w:hAnsi="Arial"/>
          <w:sz w:val="18"/>
          <w:szCs w:val="18"/>
          <w:color w:val="auto"/>
        </w:rPr>
        <w:t>committee formulates key risk management policies and procedures and consists of a compliance officer with eight years of experience in the legal profession, a certified accounting officer with the Hong Kong Institute of Certified Public Accountants with over ten years of experience in the financial industry, a risk officer who has prior experience in trading and settlement businesses, and a responsible officer with over seven years of experience in the brokerage industry. Our risk management committee empowers our risk management team, consisting of eight employees having relevant experience between three to ten years, to execute these policies and procedures.</w:t>
      </w:r>
    </w:p>
    <w:p>
      <w:pPr>
        <w:spacing w:after="0" w:line="189" w:lineRule="exact"/>
        <w:rPr>
          <w:sz w:val="20"/>
          <w:szCs w:val="20"/>
          <w:color w:val="auto"/>
        </w:rPr>
      </w:pPr>
    </w:p>
    <w:p>
      <w:pPr>
        <w:ind w:left="240" w:right="80" w:firstLine="438"/>
        <w:spacing w:after="0" w:line="254" w:lineRule="auto"/>
        <w:rPr>
          <w:sz w:val="20"/>
          <w:szCs w:val="20"/>
          <w:color w:val="auto"/>
        </w:rPr>
      </w:pPr>
      <w:r>
        <w:rPr>
          <w:rFonts w:ascii="Arial" w:cs="Arial" w:eastAsia="Arial" w:hAnsi="Arial"/>
          <w:sz w:val="18"/>
          <w:szCs w:val="18"/>
          <w:color w:val="auto"/>
        </w:rPr>
        <w:t>Our risk management team meets regularly to examine credit, operational, compliance and enterprise risks and update guidelines and measures as necessary. Key tasks of our risk management team include client verifications, storage of client information, evaluation of clients’ risk profiles, monitoring of infrastructure performance and stability, evaluation of risk concentrations, building and maintaining credit models, performing system-wide stress tests and conducting peer benchmarking and exogenous risk assessments. Our internal control, legal and compliance departments coordinate with our risk management team to jointly conduct regular and ad hoc audits on our business to ensure more effective internal control, daily operation, finance and accounting management and business operation.</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Brokerage service risk management</w:t>
      </w:r>
    </w:p>
    <w:p>
      <w:pPr>
        <w:spacing w:after="0" w:line="115" w:lineRule="exact"/>
        <w:rPr>
          <w:sz w:val="20"/>
          <w:szCs w:val="20"/>
          <w:color w:val="auto"/>
        </w:rPr>
      </w:pPr>
    </w:p>
    <w:p>
      <w:pPr>
        <w:ind w:left="240" w:right="20" w:firstLine="438"/>
        <w:spacing w:after="0" w:line="295" w:lineRule="auto"/>
        <w:rPr>
          <w:sz w:val="20"/>
          <w:szCs w:val="20"/>
          <w:color w:val="auto"/>
        </w:rPr>
      </w:pPr>
      <w:r>
        <w:rPr>
          <w:rFonts w:ascii="Arial" w:cs="Arial" w:eastAsia="Arial" w:hAnsi="Arial"/>
          <w:sz w:val="16"/>
          <w:szCs w:val="16"/>
          <w:color w:val="auto"/>
        </w:rPr>
        <w:t>We monitor client transactions on a real-time basis, seeking to identify any unusual or irregular trading activity. We have dedicated personnel to monitor account opening, security of funds and trading activities of clients and elevate any irregularities immediately. In accordance with the relevant laws and regulations regarding client funds custody, we are required to maintain accounts with recognized commercial banks for the deposit of our client funds for settlement. To prevent misappropriation of client deposits, we have centralized the storage of our clients’ trading data. We have also centralized management of the securities brokerage trading systems and settlement systems to enhance the security of client deposits.</w:t>
      </w:r>
    </w:p>
    <w:p>
      <w:pPr>
        <w:spacing w:after="0" w:line="158" w:lineRule="exact"/>
        <w:rPr>
          <w:sz w:val="20"/>
          <w:szCs w:val="20"/>
          <w:color w:val="auto"/>
        </w:rPr>
      </w:pPr>
    </w:p>
    <w:p>
      <w:pPr>
        <w:ind w:left="240" w:right="20" w:firstLine="438"/>
        <w:spacing w:after="0" w:line="288" w:lineRule="auto"/>
        <w:rPr>
          <w:sz w:val="20"/>
          <w:szCs w:val="20"/>
          <w:color w:val="auto"/>
        </w:rPr>
      </w:pPr>
      <w:r>
        <w:rPr>
          <w:rFonts w:ascii="Arial" w:cs="Arial" w:eastAsia="Arial" w:hAnsi="Arial"/>
          <w:sz w:val="16"/>
          <w:szCs w:val="16"/>
          <w:color w:val="auto"/>
        </w:rPr>
        <w:t>As part of our risk management practice, we operate a strict due diligence of client information during the “know your-client” process. Our account opening procedures are designed to ensure that our clients’ account opening information is accurate, sufficient and in compliance with applicable Hong Kong regulations and our internal control policies. For China-based clients, we collaborate with our third-party partners who are able to access the national citizen identity database of the Ministry of Public Security of China and the China Union Pay System to verify the identity and bank card information submitted by our prospective clients. For Hong Kong-based clients who apply to open trading accounts with us online, in addition to submitting personal identity information and documents, we require each prospective client to link his or her personal bank account opened with a qualified bank in Hong Kong with the trading account to be opened with us and transfer no less than HK$10,000 to avoid fraud. For offline account opening application, our verification staff will meet the prospective clients in person and interview them to verify the information submitted.</w:t>
      </w:r>
    </w:p>
    <w:p>
      <w:pPr>
        <w:spacing w:after="0" w:line="167" w:lineRule="exact"/>
        <w:rPr>
          <w:sz w:val="20"/>
          <w:szCs w:val="20"/>
          <w:color w:val="auto"/>
        </w:rPr>
      </w:pPr>
    </w:p>
    <w:p>
      <w:pPr>
        <w:ind w:left="240" w:right="220" w:firstLine="438"/>
        <w:spacing w:after="0" w:line="309" w:lineRule="auto"/>
        <w:rPr>
          <w:sz w:val="20"/>
          <w:szCs w:val="20"/>
          <w:color w:val="auto"/>
        </w:rPr>
      </w:pPr>
      <w:r>
        <w:rPr>
          <w:rFonts w:ascii="Arial" w:cs="Arial" w:eastAsia="Arial" w:hAnsi="Arial"/>
          <w:sz w:val="16"/>
          <w:szCs w:val="16"/>
          <w:color w:val="auto"/>
        </w:rPr>
        <w:t>We have established rigorous anti-money laundering internal control policies covering client identification, record keeping of client identity information and transaction records, reporting on large-sum and suspicious transactions, internal operation rules and control measures, confidentiality, training and publicity, anti-money laundering auditing, assisting investigation and execution as well as on-site inspections.</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Margin financing risk management</w:t>
      </w:r>
    </w:p>
    <w:p>
      <w:pPr>
        <w:spacing w:after="0" w:line="115" w:lineRule="exact"/>
        <w:rPr>
          <w:sz w:val="20"/>
          <w:szCs w:val="20"/>
          <w:color w:val="auto"/>
        </w:rPr>
      </w:pPr>
    </w:p>
    <w:p>
      <w:pPr>
        <w:ind w:left="240" w:right="120" w:firstLine="438"/>
        <w:spacing w:after="0" w:line="257" w:lineRule="auto"/>
        <w:rPr>
          <w:sz w:val="20"/>
          <w:szCs w:val="20"/>
          <w:color w:val="auto"/>
        </w:rPr>
      </w:pPr>
      <w:r>
        <w:rPr>
          <w:rFonts w:ascii="Arial" w:cs="Arial" w:eastAsia="Arial" w:hAnsi="Arial"/>
          <w:sz w:val="18"/>
          <w:szCs w:val="18"/>
          <w:color w:val="auto"/>
        </w:rPr>
        <w:t>We calculate margin requirements of each of our clients on a real-time basis across different markets and currencies. To ensure that the clients meet the margin requirements, we have adopted a margin call mechanism to control the overall risks involved in our margin financing business. A margin call requires that our clients pledge additional collateral in the form of either cash or acceptable securities to re-establish a minimum ratio of the value of the collateral to the amount of the margin loan balance.</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7"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60" w:firstLine="438"/>
        <w:spacing w:after="0" w:line="295" w:lineRule="auto"/>
        <w:rPr>
          <w:sz w:val="20"/>
          <w:szCs w:val="20"/>
          <w:color w:val="auto"/>
        </w:rPr>
      </w:pPr>
      <w:r>
        <w:rPr>
          <w:rFonts w:ascii="Arial" w:cs="Arial" w:eastAsia="Arial" w:hAnsi="Arial"/>
          <w:sz w:val="16"/>
          <w:szCs w:val="16"/>
          <w:color w:val="auto"/>
        </w:rPr>
        <w:t>A decline in the value of collateral may result in a margin call. Once a margin call is initiated, we will notify the client and request the client to increase pledged collateral or reduce exposure by liquidating all or some of the securities portfolio. If the client is unable to satisfy the margin call requirement within two trading days and the value of the collateral remains below the required level, normally we will automatically liquidate securities positions to facilitate margin compliance. In some cases, if the value of the collateral falls below the required level and deteriorates sharply, we may liquidate positions without giving prior notification to the client. Our risk management system monitors and manages clients’ credit risks.</w:t>
      </w:r>
    </w:p>
    <w:p>
      <w:pPr>
        <w:spacing w:after="0" w:line="158" w:lineRule="exact"/>
        <w:rPr>
          <w:sz w:val="20"/>
          <w:szCs w:val="20"/>
          <w:color w:val="auto"/>
        </w:rPr>
      </w:pPr>
    </w:p>
    <w:p>
      <w:pPr>
        <w:ind w:left="240" w:right="60" w:firstLine="438"/>
        <w:spacing w:after="0" w:line="255" w:lineRule="auto"/>
        <w:rPr>
          <w:sz w:val="20"/>
          <w:szCs w:val="20"/>
          <w:color w:val="auto"/>
        </w:rPr>
      </w:pPr>
      <w:r>
        <w:rPr>
          <w:rFonts w:ascii="Arial" w:cs="Arial" w:eastAsia="Arial" w:hAnsi="Arial"/>
          <w:sz w:val="18"/>
          <w:szCs w:val="18"/>
          <w:color w:val="auto"/>
        </w:rPr>
        <w:t>All collateral is displayed on liquidation monitoring screens that are part of the tools our technical staff utilizes to monitor the performance of our systems during the relevant market hours. At the same time our clients can also monitor, in real-time, the value of the collateral supporting their margin loans and will automatically receive a warning message when approaching a margin limit. This feature allows our clients to proactively manage their financed positions and avoid unnecessary or forced liquidations. We have not suffered any loss or failed to manage credit risk exposure since the launch of our margin financing business.</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Social network community risk management</w:t>
      </w:r>
    </w:p>
    <w:p>
      <w:pPr>
        <w:spacing w:after="0" w:line="119" w:lineRule="exact"/>
        <w:rPr>
          <w:sz w:val="20"/>
          <w:szCs w:val="20"/>
          <w:color w:val="auto"/>
        </w:rPr>
      </w:pPr>
    </w:p>
    <w:p>
      <w:pPr>
        <w:ind w:left="240" w:right="160" w:firstLine="438"/>
        <w:spacing w:after="0" w:line="254" w:lineRule="auto"/>
        <w:rPr>
          <w:sz w:val="20"/>
          <w:szCs w:val="20"/>
          <w:color w:val="auto"/>
        </w:rPr>
      </w:pPr>
      <w:r>
        <w:rPr>
          <w:rFonts w:ascii="Arial" w:cs="Arial" w:eastAsia="Arial" w:hAnsi="Arial"/>
          <w:sz w:val="18"/>
          <w:szCs w:val="18"/>
          <w:color w:val="auto"/>
        </w:rPr>
        <w:t xml:space="preserve">We have adopted a number of measures to monitor and manage potential risks in connection with information disseminated on our </w:t>
      </w:r>
      <w:r>
        <w:rPr>
          <w:rFonts w:ascii="Arial" w:cs="Arial" w:eastAsia="Arial" w:hAnsi="Arial"/>
          <w:sz w:val="18"/>
          <w:szCs w:val="18"/>
          <w:i w:val="1"/>
          <w:iCs w:val="1"/>
          <w:color w:val="auto"/>
        </w:rPr>
        <w:t>NiuNiu</w:t>
      </w:r>
      <w:r>
        <w:rPr>
          <w:rFonts w:ascii="Arial" w:cs="Arial" w:eastAsia="Arial" w:hAnsi="Arial"/>
          <w:sz w:val="18"/>
          <w:szCs w:val="18"/>
          <w:color w:val="auto"/>
        </w:rPr>
        <w:t xml:space="preserve"> </w:t>
      </w:r>
      <w:r>
        <w:rPr>
          <w:rFonts w:ascii="Arial" w:cs="Arial" w:eastAsia="Arial" w:hAnsi="Arial"/>
          <w:sz w:val="18"/>
          <w:szCs w:val="18"/>
          <w:i w:val="1"/>
          <w:iCs w:val="1"/>
          <w:color w:val="auto"/>
        </w:rPr>
        <w:t>Community</w:t>
      </w:r>
      <w:r>
        <w:rPr>
          <w:rFonts w:ascii="Arial" w:cs="Arial" w:eastAsia="Arial" w:hAnsi="Arial"/>
          <w:sz w:val="18"/>
          <w:szCs w:val="18"/>
          <w:color w:val="auto"/>
        </w:rPr>
        <w:t>. For example, we have an automatic filtering mechanism that prevents offensive, fraudulent and other inappropriate content from being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posted to our platform. Moreover, we perform manual inspection of each post and live broadcast video uploaded to our </w:t>
      </w:r>
      <w:r>
        <w:rPr>
          <w:rFonts w:ascii="Arial" w:cs="Arial" w:eastAsia="Arial" w:hAnsi="Arial"/>
          <w:sz w:val="18"/>
          <w:szCs w:val="18"/>
          <w:i w:val="1"/>
          <w:iCs w:val="1"/>
          <w:color w:val="auto"/>
        </w:rPr>
        <w:t>NiuNiu Community</w:t>
      </w:r>
      <w:r>
        <w:rPr>
          <w:rFonts w:ascii="Arial" w:cs="Arial" w:eastAsia="Arial" w:hAnsi="Arial"/>
          <w:sz w:val="18"/>
          <w:szCs w:val="18"/>
          <w:color w:val="auto"/>
        </w:rPr>
        <w:t xml:space="preserve">, to ensure that content that is against our platform policies and applicable laws and regulations will be removed and responsible content creators are banned from posting going forward. In addition, we frequently share information on stock investment risks on </w:t>
      </w:r>
      <w:r>
        <w:rPr>
          <w:rFonts w:ascii="Arial" w:cs="Arial" w:eastAsia="Arial" w:hAnsi="Arial"/>
          <w:sz w:val="18"/>
          <w:szCs w:val="18"/>
          <w:i w:val="1"/>
          <w:iCs w:val="1"/>
          <w:color w:val="auto"/>
        </w:rPr>
        <w:t>NiuNiu Community</w:t>
      </w:r>
      <w:r>
        <w:rPr>
          <w:rFonts w:ascii="Arial" w:cs="Arial" w:eastAsia="Arial" w:hAnsi="Arial"/>
          <w:sz w:val="18"/>
          <w:szCs w:val="18"/>
          <w:color w:val="auto"/>
        </w:rPr>
        <w:t xml:space="preserve"> to provide warnings against fraudulent activities and raise our users’ risk awareness.</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Data Security and Protection</w:t>
      </w:r>
    </w:p>
    <w:p>
      <w:pPr>
        <w:spacing w:after="0" w:line="119" w:lineRule="exact"/>
        <w:rPr>
          <w:sz w:val="20"/>
          <w:szCs w:val="20"/>
          <w:color w:val="auto"/>
        </w:rPr>
      </w:pPr>
    </w:p>
    <w:p>
      <w:pPr>
        <w:ind w:left="240" w:right="320" w:firstLine="438"/>
        <w:spacing w:after="0" w:line="262" w:lineRule="auto"/>
        <w:rPr>
          <w:sz w:val="20"/>
          <w:szCs w:val="20"/>
          <w:color w:val="auto"/>
        </w:rPr>
      </w:pPr>
      <w:r>
        <w:rPr>
          <w:rFonts w:ascii="Arial" w:cs="Arial" w:eastAsia="Arial" w:hAnsi="Arial"/>
          <w:sz w:val="18"/>
          <w:szCs w:val="18"/>
          <w:color w:val="auto"/>
        </w:rPr>
        <w:t>We have established a comprehensive security system, supported by our network situational awareness and risk management system. Our back-end security system is capable of handling massive malicious attacks to safeguard the security of our platform and to protect the privacy of our clients.</w:t>
      </w:r>
    </w:p>
    <w:p>
      <w:pPr>
        <w:spacing w:after="0" w:line="181" w:lineRule="exact"/>
        <w:rPr>
          <w:sz w:val="20"/>
          <w:szCs w:val="20"/>
          <w:color w:val="auto"/>
        </w:rPr>
      </w:pPr>
    </w:p>
    <w:p>
      <w:pPr>
        <w:ind w:left="240" w:right="20" w:firstLine="438"/>
        <w:spacing w:after="0" w:line="253" w:lineRule="auto"/>
        <w:rPr>
          <w:sz w:val="20"/>
          <w:szCs w:val="20"/>
          <w:color w:val="auto"/>
        </w:rPr>
      </w:pPr>
      <w:r>
        <w:rPr>
          <w:rFonts w:ascii="Arial" w:cs="Arial" w:eastAsia="Arial" w:hAnsi="Arial"/>
          <w:sz w:val="18"/>
          <w:szCs w:val="18"/>
          <w:color w:val="auto"/>
        </w:rPr>
        <w:t>We have a data security team of engineers and technicians dedicated to protecting the security of our data. We have also adopted a strict data protection policy to ensure the security of our proprietary data. We encrypt confidential personal information we gather from our platform. To ensure data security and avoid data leakage, we have established stringent internal protocols under which we grant classified access to confidential personal data only to limited employees with strictly defined and layered access authority. We also set up a firewall to segregate our core user data and require strict access digital permission to access any core data throughout our entire operation. We strictly control and manage the use of data within our various departments and do not share any personal data of our users and clients with external third parties. We have measures in place to prevent staff from improperly using client information.</w:t>
      </w:r>
    </w:p>
    <w:p>
      <w:pPr>
        <w:spacing w:after="0" w:line="191" w:lineRule="exact"/>
        <w:rPr>
          <w:sz w:val="20"/>
          <w:szCs w:val="20"/>
          <w:color w:val="auto"/>
        </w:rPr>
      </w:pPr>
    </w:p>
    <w:p>
      <w:pPr>
        <w:ind w:left="240" w:firstLine="438"/>
        <w:spacing w:after="0" w:line="252" w:lineRule="auto"/>
        <w:rPr>
          <w:sz w:val="20"/>
          <w:szCs w:val="20"/>
          <w:color w:val="auto"/>
        </w:rPr>
      </w:pPr>
      <w:r>
        <w:rPr>
          <w:rFonts w:ascii="Arial" w:cs="Arial" w:eastAsia="Arial" w:hAnsi="Arial"/>
          <w:sz w:val="18"/>
          <w:szCs w:val="18"/>
          <w:color w:val="auto"/>
        </w:rPr>
        <w:t>On the client side, we have developed a proprietary dual identification verification function to protect our clients’ account security. Our clients can set up the dual identification verification function with their accounts to enhance their account security. Once the dual identification verification function is activated, if a client logs in to his or her account through a different device, both the account password and a dynamic verification code are required to be authenticated. In addition, the client can opt to type in both the transaction password and a dynamic password token to place a trading order on our platform. For the core data such as the client’s account opening information and account assets, we segregate the core data from other data and store it in the “core data zone” built by isolated network. Any access to such core data requires the above dual identification verification process, thus ensuring that every data access has obtained the relevant client’s prior authorization. This mechanism has greatly improved the security of our clients’ sensitive data.</w:t>
      </w:r>
    </w:p>
    <w:p>
      <w:pPr>
        <w:spacing w:after="0" w:line="1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80"/>
          </w:cols>
          <w:pgMar w:left="240" w:top="457"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Intellectual Property</w:t>
      </w:r>
    </w:p>
    <w:p>
      <w:pPr>
        <w:spacing w:after="0" w:line="119" w:lineRule="exact"/>
        <w:rPr>
          <w:sz w:val="20"/>
          <w:szCs w:val="20"/>
          <w:color w:val="auto"/>
        </w:rPr>
      </w:pPr>
    </w:p>
    <w:p>
      <w:pPr>
        <w:ind w:left="240" w:right="60" w:firstLine="438"/>
        <w:spacing w:after="0" w:line="309" w:lineRule="auto"/>
        <w:rPr>
          <w:sz w:val="20"/>
          <w:szCs w:val="20"/>
          <w:color w:val="auto"/>
        </w:rPr>
      </w:pPr>
      <w:r>
        <w:rPr>
          <w:rFonts w:ascii="Arial" w:cs="Arial" w:eastAsia="Arial" w:hAnsi="Arial"/>
          <w:sz w:val="16"/>
          <w:szCs w:val="16"/>
          <w:color w:val="auto"/>
        </w:rPr>
        <w:t xml:space="preserve">As of December 31, 2017, we owned three computer software copyrights in China relating to various aspects of our operations and maintained 66 trademark registrations inside China and over 40 trademark registrations inside Hong Kong. As of December 31, 2017, we had 12 patents granted in China. As of December 31, 2017, we had registered over five domain names, including </w:t>
      </w:r>
      <w:r>
        <w:rPr>
          <w:rFonts w:ascii="Arial" w:cs="Arial" w:eastAsia="Arial" w:hAnsi="Arial"/>
          <w:sz w:val="16"/>
          <w:szCs w:val="16"/>
          <w:i w:val="1"/>
          <w:iCs w:val="1"/>
          <w:color w:val="auto"/>
        </w:rPr>
        <w:t>futu5.com</w:t>
      </w:r>
      <w:r>
        <w:rPr>
          <w:rFonts w:ascii="Arial" w:cs="Arial" w:eastAsia="Arial" w:hAnsi="Arial"/>
          <w:sz w:val="16"/>
          <w:szCs w:val="16"/>
          <w:color w:val="auto"/>
        </w:rPr>
        <w:t xml:space="preserve">, </w:t>
      </w:r>
      <w:r>
        <w:rPr>
          <w:rFonts w:ascii="Arial" w:cs="Arial" w:eastAsia="Arial" w:hAnsi="Arial"/>
          <w:sz w:val="16"/>
          <w:szCs w:val="16"/>
          <w:i w:val="1"/>
          <w:iCs w:val="1"/>
          <w:color w:val="auto"/>
        </w:rPr>
        <w:t>futunn.com</w:t>
      </w:r>
      <w:r>
        <w:rPr>
          <w:rFonts w:ascii="Arial" w:cs="Arial" w:eastAsia="Arial" w:hAnsi="Arial"/>
          <w:sz w:val="16"/>
          <w:szCs w:val="16"/>
          <w:color w:val="auto"/>
        </w:rPr>
        <w:t xml:space="preserve">, </w:t>
      </w:r>
      <w:r>
        <w:rPr>
          <w:rFonts w:ascii="Arial" w:cs="Arial" w:eastAsia="Arial" w:hAnsi="Arial"/>
          <w:sz w:val="16"/>
          <w:szCs w:val="16"/>
          <w:i w:val="1"/>
          <w:iCs w:val="1"/>
          <w:color w:val="auto"/>
        </w:rPr>
        <w:t>futuholdings.com</w:t>
      </w:r>
      <w:r>
        <w:rPr>
          <w:rFonts w:ascii="Arial" w:cs="Arial" w:eastAsia="Arial" w:hAnsi="Arial"/>
          <w:sz w:val="16"/>
          <w:szCs w:val="16"/>
          <w:color w:val="auto"/>
        </w:rPr>
        <w:t xml:space="preserve"> and </w:t>
      </w:r>
      <w:r>
        <w:rPr>
          <w:rFonts w:ascii="Arial" w:cs="Arial" w:eastAsia="Arial" w:hAnsi="Arial"/>
          <w:sz w:val="16"/>
          <w:szCs w:val="16"/>
          <w:i w:val="1"/>
          <w:iCs w:val="1"/>
          <w:color w:val="auto"/>
        </w:rPr>
        <w:t>futuesop.com</w:t>
      </w:r>
      <w:r>
        <w:rPr>
          <w:rFonts w:ascii="Arial" w:cs="Arial" w:eastAsia="Arial" w:hAnsi="Arial"/>
          <w:sz w:val="16"/>
          <w:szCs w:val="16"/>
          <w:color w:val="auto"/>
        </w:rPr>
        <w: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Marketing and Brand Promotion</w:t>
      </w:r>
    </w:p>
    <w:p>
      <w:pPr>
        <w:spacing w:after="0" w:line="119" w:lineRule="exact"/>
        <w:rPr>
          <w:sz w:val="20"/>
          <w:szCs w:val="20"/>
          <w:color w:val="auto"/>
        </w:rPr>
      </w:pPr>
    </w:p>
    <w:p>
      <w:pPr>
        <w:ind w:left="240" w:right="260" w:firstLine="438"/>
        <w:spacing w:after="0" w:line="309" w:lineRule="auto"/>
        <w:rPr>
          <w:sz w:val="20"/>
          <w:szCs w:val="20"/>
          <w:color w:val="auto"/>
        </w:rPr>
      </w:pPr>
      <w:r>
        <w:rPr>
          <w:rFonts w:ascii="Arial" w:cs="Arial" w:eastAsia="Arial" w:hAnsi="Arial"/>
          <w:sz w:val="16"/>
          <w:szCs w:val="16"/>
          <w:color w:val="auto"/>
        </w:rPr>
        <w:t>We have a marketing committee responsible for formulating our marketing and brand promotion strategies, which are refreshed on a monthly basis. This same committee then guides our dedicated marketing team to implement such strategies and handle our marketing and brand promotion activities. As part of our overall brand strategy, we collaborate with Tencent, our strategic partner and shareholder, to furthermore promote our brand.</w:t>
      </w:r>
    </w:p>
    <w:p>
      <w:pPr>
        <w:spacing w:after="0" w:line="149"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We conduct digital advertising via search engines, app stores, advertising networks, video sharing websites, and microblogging sites. Our utilization of search engines is mainly through paid search, whereby we purchase key words and brand-link products. With the help of online advertising networks, we can run our advertisements through a variety of online media. We upload our promotional videos to popular video sharing sites. We also periodically send e-mails and SMS messages to our clients to highlight our platform’s latest services and functions, promotional items and marketing events.</w:t>
      </w:r>
    </w:p>
    <w:p>
      <w:pPr>
        <w:spacing w:after="0" w:line="189" w:lineRule="exact"/>
        <w:rPr>
          <w:sz w:val="20"/>
          <w:szCs w:val="20"/>
          <w:color w:val="auto"/>
        </w:rPr>
      </w:pPr>
    </w:p>
    <w:p>
      <w:pPr>
        <w:ind w:left="240" w:right="200" w:firstLine="438"/>
        <w:spacing w:after="0" w:line="262" w:lineRule="auto"/>
        <w:rPr>
          <w:sz w:val="20"/>
          <w:szCs w:val="20"/>
          <w:color w:val="auto"/>
        </w:rPr>
      </w:pPr>
      <w:r>
        <w:rPr>
          <w:rFonts w:ascii="Arial" w:cs="Arial" w:eastAsia="Arial" w:hAnsi="Arial"/>
          <w:sz w:val="18"/>
          <w:szCs w:val="18"/>
          <w:color w:val="auto"/>
        </w:rPr>
        <w:t>In addition, we host online seminars and lectures to enhance our brand recognition. We also conduct offline advertising via outdoor bulletin boards, magazines, campus promotions and television commercials. Our offline advertising plays an important role in building the image of our brand and generating public exposure.</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ind w:left="240" w:right="160" w:firstLine="438"/>
        <w:spacing w:after="0" w:line="255" w:lineRule="auto"/>
        <w:rPr>
          <w:sz w:val="20"/>
          <w:szCs w:val="20"/>
          <w:color w:val="auto"/>
        </w:rPr>
      </w:pPr>
      <w:r>
        <w:rPr>
          <w:rFonts w:ascii="Arial" w:cs="Arial" w:eastAsia="Arial" w:hAnsi="Arial"/>
          <w:sz w:val="18"/>
          <w:szCs w:val="18"/>
          <w:color w:val="auto"/>
        </w:rPr>
        <w:t>The market for online brokerage services is emerging and rapidly evolving. As one of the first movers in online brokerage market, we position ourselves as an online brokerage company based in Hong Kong with an expanded international footprint in the United States as well as strong background and abundant resources in China. We currently compete with three types of competitors in this markets including (i) pure-play online brokerage companies; (ii) hybrid brokerage companies featuring a combination of online and offline channels and (iii) brokerage business units within commercial banks.</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compete primarily on the basis of:</w:t>
      </w:r>
    </w:p>
    <w:p>
      <w:pPr>
        <w:spacing w:after="0" w:line="129" w:lineRule="exact"/>
        <w:rPr>
          <w:sz w:val="20"/>
          <w:szCs w:val="20"/>
          <w:color w:val="auto"/>
        </w:rPr>
      </w:pPr>
    </w:p>
    <w:p>
      <w:pPr>
        <w:ind w:left="1100" w:hanging="435"/>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client base and client experience;</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technology infrastructure;</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research and development capabilities;</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security and credibility of the platform;</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operational compliance with applicable regulatory requirements; and</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3" w:lineRule="exact"/>
        <w:rPr>
          <w:sz w:val="20"/>
          <w:szCs w:val="20"/>
          <w:color w:val="auto"/>
        </w:rPr>
      </w:pPr>
    </w:p>
    <w:p>
      <w:pPr>
        <w:ind w:left="240" w:right="200" w:firstLine="438"/>
        <w:spacing w:after="0" w:line="262" w:lineRule="auto"/>
        <w:rPr>
          <w:sz w:val="20"/>
          <w:szCs w:val="20"/>
          <w:color w:val="auto"/>
        </w:rPr>
      </w:pPr>
      <w:r>
        <w:rPr>
          <w:rFonts w:ascii="Arial" w:cs="Arial" w:eastAsia="Arial" w:hAnsi="Arial"/>
          <w:sz w:val="18"/>
          <w:szCs w:val="18"/>
          <w:color w:val="auto"/>
        </w:rPr>
        <w:t>We believe that we are well-positioned to effectively compete on the basis of the factors listed above. However, many of our current or future competitors may have longer operating histories, greater brand recognition, stronger infrastructure, larger client bases or greater financial, technical or marketing resources than we do.</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Licenses</w:t>
      </w:r>
    </w:p>
    <w:p>
      <w:pPr>
        <w:spacing w:after="0" w:line="119" w:lineRule="exact"/>
        <w:rPr>
          <w:sz w:val="20"/>
          <w:szCs w:val="20"/>
          <w:color w:val="auto"/>
        </w:rPr>
      </w:pPr>
    </w:p>
    <w:p>
      <w:pPr>
        <w:ind w:left="240" w:right="460" w:firstLine="438"/>
        <w:spacing w:after="0" w:line="275" w:lineRule="auto"/>
        <w:rPr>
          <w:sz w:val="20"/>
          <w:szCs w:val="20"/>
          <w:color w:val="auto"/>
        </w:rPr>
      </w:pPr>
      <w:r>
        <w:rPr>
          <w:rFonts w:ascii="Arial" w:cs="Arial" w:eastAsia="Arial" w:hAnsi="Arial"/>
          <w:sz w:val="18"/>
          <w:szCs w:val="18"/>
          <w:color w:val="auto"/>
        </w:rPr>
        <w:t>We conduct our business mainly in Hong Kong and are, therefore, subject to the relevant restrictions of the regulatory requirements of Hong Kong.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7"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firstLine="438"/>
        <w:spacing w:after="0" w:line="269" w:lineRule="auto"/>
        <w:rPr>
          <w:sz w:val="20"/>
          <w:szCs w:val="20"/>
          <w:color w:val="auto"/>
        </w:rPr>
      </w:pPr>
      <w:r>
        <w:rPr>
          <w:rFonts w:ascii="Arial" w:cs="Arial" w:eastAsia="Arial" w:hAnsi="Arial"/>
          <w:sz w:val="17"/>
          <w:szCs w:val="17"/>
          <w:color w:val="auto"/>
        </w:rPr>
        <w:t>Due to the licensing requirements of the HK SFC, Futu International Hong Kong is required to obtain necessary licenses to conduct its business in Hong Kong. Futu International Hong Kong’s business and responsible personnel are subject to the relevant laws and regulations and the respective rules of the HK SFC. Futu International Hong Kong currently holds a Type 1 License for dealing in securities, a Type 2 License for dealing in futures contracts, a Type 4 License for advising on securities, a Type 5 License for advising on futures contracts and a Type 9 License for asset management. These licenses have no expiry date and will remain valid unless being suspended or revoked by the HK SFC. Futu International Hong Kong is not required to apply for a Type 8 License in order to conduct margin financing business, as it is licensed to carry out Type 1 regulated activities. See “Regulation—Overview of the Laws and Regulations Relating to Our Business and Operations in Hong Kong—Introduction.” Futu International Hong Kong became a stock exchange participant on October 29, 2012.</w:t>
      </w:r>
    </w:p>
    <w:p>
      <w:pPr>
        <w:spacing w:after="0" w:line="181" w:lineRule="exact"/>
        <w:rPr>
          <w:sz w:val="20"/>
          <w:szCs w:val="20"/>
          <w:color w:val="auto"/>
        </w:rPr>
      </w:pPr>
    </w:p>
    <w:p>
      <w:pPr>
        <w:jc w:val="both"/>
        <w:ind w:left="240" w:right="140" w:firstLine="438"/>
        <w:spacing w:after="0" w:line="262" w:lineRule="auto"/>
        <w:rPr>
          <w:sz w:val="20"/>
          <w:szCs w:val="20"/>
          <w:color w:val="auto"/>
        </w:rPr>
      </w:pPr>
      <w:r>
        <w:rPr>
          <w:rFonts w:ascii="Arial" w:cs="Arial" w:eastAsia="Arial" w:hAnsi="Arial"/>
          <w:sz w:val="18"/>
          <w:szCs w:val="18"/>
          <w:color w:val="auto"/>
        </w:rPr>
        <w:t>In addition, Futu Lending Limited is licensed under the Money Lenders Ordinance (Cap. 163) of Laws of Hong Kong to conduct money lending activities under its money lenders license. Futu Lending Limited is currently renewing its money lenders license with the relevant authorities in Hong Kong. The license is subject to renewal.</w:t>
      </w:r>
    </w:p>
    <w:p>
      <w:pPr>
        <w:spacing w:after="0" w:line="181" w:lineRule="exact"/>
        <w:rPr>
          <w:sz w:val="20"/>
          <w:szCs w:val="20"/>
          <w:color w:val="auto"/>
        </w:rPr>
      </w:pPr>
    </w:p>
    <w:p>
      <w:pPr>
        <w:ind w:left="240" w:right="140" w:firstLine="438"/>
        <w:spacing w:after="0" w:line="274" w:lineRule="auto"/>
        <w:rPr>
          <w:sz w:val="20"/>
          <w:szCs w:val="20"/>
          <w:color w:val="auto"/>
        </w:rPr>
      </w:pPr>
      <w:r>
        <w:rPr>
          <w:rFonts w:ascii="Arial" w:cs="Arial" w:eastAsia="Arial" w:hAnsi="Arial"/>
          <w:sz w:val="17"/>
          <w:szCs w:val="17"/>
          <w:color w:val="auto"/>
        </w:rPr>
        <w:t>We are also subject to applicable laws and regulations in China and United States as we have business presence there. We have also obtained the approval from the FINRA as a member and is permitted to conduct broker-dealer business in the U.S., subject to regulations by the FINRA. We are currently applying for a clearing license in the U.S. with the U.S. Securities and Exchange Commission and a virtual banking license with the Hong Kong Monetary Authority. We will continue to obtain and maintain all the required licenses and approvals or make all the necessary filings with the competent authorities along with the expansion of our business in the future.</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ind w:left="240" w:right="40" w:firstLine="438"/>
        <w:spacing w:after="0" w:line="262" w:lineRule="auto"/>
        <w:rPr>
          <w:sz w:val="20"/>
          <w:szCs w:val="20"/>
          <w:color w:val="auto"/>
        </w:rPr>
      </w:pPr>
      <w:r>
        <w:rPr>
          <w:rFonts w:ascii="Arial" w:cs="Arial" w:eastAsia="Arial" w:hAnsi="Arial"/>
          <w:sz w:val="18"/>
          <w:szCs w:val="18"/>
          <w:color w:val="auto"/>
        </w:rPr>
        <w:t>As of December 31, 2017, we had a total of 347 employees. Among these employees, 303 employees were located in China, 44 employees were located in Hong Kong. Our employees who handle our online brokerage business are all based in Hong Kong. We had a total of 248 and 180 employees as of December 31, 2016 and 2015, respectively.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tables sets forth the number of our employees as of December 31, 2017 by function:</w:t>
      </w:r>
    </w:p>
    <w:p>
      <w:pPr>
        <w:spacing w:after="0" w:line="22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As of</w:t>
            </w:r>
          </w:p>
        </w:tc>
      </w:tr>
      <w:tr>
        <w:trPr>
          <w:trHeight w:val="170"/>
        </w:trPr>
        <w:tc>
          <w:tcPr>
            <w:tcW w:w="6720" w:type="dxa"/>
            <w:vAlign w:val="bottom"/>
          </w:tcPr>
          <w:p>
            <w:pPr>
              <w:spacing w:after="0"/>
              <w:rPr>
                <w:sz w:val="14"/>
                <w:szCs w:val="14"/>
                <w:color w:val="auto"/>
              </w:rPr>
            </w:pPr>
          </w:p>
        </w:tc>
        <w:tc>
          <w:tcPr>
            <w:tcW w:w="16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December 31, 2017</w:t>
            </w:r>
          </w:p>
        </w:tc>
      </w:tr>
      <w:tr>
        <w:trPr>
          <w:trHeight w:val="141"/>
        </w:trPr>
        <w:tc>
          <w:tcPr>
            <w:tcW w:w="672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20"/>
              <w:spacing w:after="0" w:line="141" w:lineRule="exact"/>
              <w:rPr>
                <w:sz w:val="20"/>
                <w:szCs w:val="20"/>
                <w:color w:val="auto"/>
              </w:rPr>
            </w:pPr>
            <w:r>
              <w:rPr>
                <w:rFonts w:ascii="Arial" w:cs="Arial" w:eastAsia="Arial" w:hAnsi="Arial"/>
                <w:sz w:val="14"/>
                <w:szCs w:val="14"/>
                <w:b w:val="1"/>
                <w:bCs w:val="1"/>
                <w:color w:val="auto"/>
                <w:w w:val="94"/>
              </w:rPr>
              <w:t>Number</w:t>
            </w:r>
          </w:p>
        </w:tc>
        <w:tc>
          <w:tcPr>
            <w:tcW w:w="1000" w:type="dxa"/>
            <w:vAlign w:val="bottom"/>
            <w:tcBorders>
              <w:top w:val="single" w:sz="8" w:color="auto"/>
            </w:tcBorders>
            <w:gridSpan w:val="2"/>
          </w:tcPr>
          <w:p>
            <w:pPr>
              <w:jc w:val="right"/>
              <w:ind w:right="71"/>
              <w:spacing w:after="0" w:line="141"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95"/>
        </w:trPr>
        <w:tc>
          <w:tcPr>
            <w:tcW w:w="67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Functions:</w:t>
            </w: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59.4</w:t>
            </w:r>
          </w:p>
        </w:tc>
      </w:tr>
      <w:tr>
        <w:trPr>
          <w:trHeight w:val="215"/>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Customer services and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General and administration</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r>
      <w:tr>
        <w:trPr>
          <w:trHeight w:val="215"/>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22"/>
        </w:trPr>
        <w:tc>
          <w:tcPr>
            <w:tcW w:w="6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Our success depends on our ability to attract, motivate, train and retain qualified personnel. We take pride in a genuinely transparent, efficient, and technology-focused corporate culture and embrace it as one of our fundamental strengths. We place great emphasis on our corporate culture to ensure that we maintain consistently high standards everywhere we operate. We believe we offer our employees competitive compensation packages and an environment that encourages self-development and, as a result, have generally been able to attract and retain qualified personnel and maintain a stable core management team. We have established comprehensive training programs that cover topics such as our corporate culture, professional knowledge and skills related to our</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60"/>
          </w:cols>
          <w:pgMar w:left="240" w:top="457"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360"/>
        <w:spacing w:after="0" w:line="262" w:lineRule="auto"/>
        <w:rPr>
          <w:sz w:val="20"/>
          <w:szCs w:val="20"/>
          <w:color w:val="auto"/>
        </w:rPr>
      </w:pPr>
      <w:r>
        <w:rPr>
          <w:rFonts w:ascii="Arial" w:cs="Arial" w:eastAsia="Arial" w:hAnsi="Arial"/>
          <w:sz w:val="18"/>
          <w:szCs w:val="18"/>
          <w:color w:val="auto"/>
        </w:rPr>
        <w:t>business operations and new initiatives, employee rights and responsibilities, team-building, professional behavior, job performance, leadership and executive decision-making. We are committed to making continued efforts to provide a better working environment and enhanced benefits to our employees.</w:t>
      </w:r>
    </w:p>
    <w:p>
      <w:pPr>
        <w:spacing w:after="0" w:line="181" w:lineRule="exact"/>
        <w:rPr>
          <w:sz w:val="20"/>
          <w:szCs w:val="20"/>
          <w:color w:val="auto"/>
        </w:rPr>
      </w:pPr>
    </w:p>
    <w:p>
      <w:pPr>
        <w:jc w:val="both"/>
        <w:ind w:left="240" w:right="20" w:firstLine="438"/>
        <w:spacing w:after="0" w:line="285" w:lineRule="auto"/>
        <w:rPr>
          <w:sz w:val="20"/>
          <w:szCs w:val="20"/>
          <w:color w:val="auto"/>
        </w:rPr>
      </w:pPr>
      <w:r>
        <w:rPr>
          <w:rFonts w:ascii="Arial" w:cs="Arial" w:eastAsia="Arial" w:hAnsi="Arial"/>
          <w:sz w:val="16"/>
          <w:szCs w:val="16"/>
          <w:color w:val="auto"/>
        </w:rPr>
        <w:t>We participate in various employee social security plans that are organized by municipal and provincial governments, including housing, pension, medical insurance and unemployment insurance, as required by laws and regulations in China. We are required under Chinese law to make contributions to employee benefit plans at specified percentages of the salaries, bonuses and certain allowances of our employees, up to a maximum amount specified by the local government from time to time. We also provide low-interest loans to qualified employees as an incentive of their performance and loyalty.</w:t>
      </w:r>
    </w:p>
    <w:p>
      <w:pPr>
        <w:ind w:left="240" w:right="320"/>
        <w:spacing w:after="0" w:line="258" w:lineRule="auto"/>
        <w:rPr>
          <w:sz w:val="20"/>
          <w:szCs w:val="20"/>
          <w:color w:val="auto"/>
        </w:rPr>
      </w:pPr>
      <w:r>
        <w:rPr>
          <w:rFonts w:ascii="Arial" w:cs="Arial" w:eastAsia="Arial" w:hAnsi="Arial"/>
          <w:sz w:val="18"/>
          <w:szCs w:val="18"/>
          <w:color w:val="auto"/>
        </w:rPr>
        <w:t>We also have a systematic performance evaluation system which provides the basis for human resource decisions such as remuneration adjustments, career promotion and talent cultivation.</w:t>
      </w:r>
    </w:p>
    <w:p>
      <w:pPr>
        <w:spacing w:after="0" w:line="185" w:lineRule="exact"/>
        <w:rPr>
          <w:sz w:val="20"/>
          <w:szCs w:val="20"/>
          <w:color w:val="auto"/>
        </w:rPr>
      </w:pPr>
    </w:p>
    <w:p>
      <w:pPr>
        <w:ind w:left="240" w:right="20" w:firstLine="438"/>
        <w:spacing w:after="0" w:line="284" w:lineRule="auto"/>
        <w:rPr>
          <w:sz w:val="20"/>
          <w:szCs w:val="20"/>
          <w:color w:val="auto"/>
        </w:rPr>
      </w:pPr>
      <w:r>
        <w:rPr>
          <w:rFonts w:ascii="Arial" w:cs="Arial" w:eastAsia="Arial" w:hAnsi="Arial"/>
          <w:sz w:val="17"/>
          <w:szCs w:val="17"/>
          <w:color w:val="auto"/>
        </w:rPr>
        <w:t>We enter into standard labor contracts with our employees. We also enter into standard confidentiality and non-compete agreements with our senior management. The non-compete restricted period typically expires two years after the termination of employment, and we agree to compensate the employee with a certain percentage of his or her pre-departure salary during the restricted period.</w:t>
      </w:r>
    </w:p>
    <w:p>
      <w:pPr>
        <w:spacing w:after="0" w:line="165" w:lineRule="exact"/>
        <w:rPr>
          <w:sz w:val="20"/>
          <w:szCs w:val="20"/>
          <w:color w:val="auto"/>
        </w:rPr>
      </w:pPr>
    </w:p>
    <w:p>
      <w:pPr>
        <w:ind w:left="240" w:right="20" w:firstLine="438"/>
        <w:spacing w:after="0" w:line="275" w:lineRule="auto"/>
        <w:rPr>
          <w:sz w:val="20"/>
          <w:szCs w:val="20"/>
          <w:color w:val="auto"/>
        </w:rPr>
      </w:pPr>
      <w:r>
        <w:rPr>
          <w:rFonts w:ascii="Arial" w:cs="Arial" w:eastAsia="Arial" w:hAnsi="Arial"/>
          <w:sz w:val="18"/>
          <w:szCs w:val="18"/>
          <w:color w:val="auto"/>
        </w:rPr>
        <w:t>We believe that we maintain a good working relationship with our employees, and we have not experienced any major labor disputes. None of our employees are represented by labor unions.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Insurance</w:t>
      </w:r>
    </w:p>
    <w:p>
      <w:pPr>
        <w:spacing w:after="0" w:line="119" w:lineRule="exact"/>
        <w:rPr>
          <w:sz w:val="20"/>
          <w:szCs w:val="20"/>
          <w:color w:val="auto"/>
        </w:rPr>
      </w:pPr>
    </w:p>
    <w:p>
      <w:pPr>
        <w:ind w:left="240" w:right="80" w:firstLine="438"/>
        <w:spacing w:after="0" w:line="292" w:lineRule="auto"/>
        <w:rPr>
          <w:sz w:val="20"/>
          <w:szCs w:val="20"/>
          <w:color w:val="auto"/>
        </w:rPr>
      </w:pPr>
      <w:r>
        <w:rPr>
          <w:rFonts w:ascii="Arial" w:cs="Arial" w:eastAsia="Arial" w:hAnsi="Arial"/>
          <w:sz w:val="16"/>
          <w:szCs w:val="16"/>
          <w:color w:val="auto"/>
        </w:rPr>
        <w:t>We provide social security insurance including medical insurance, maternity insurance, workplace injury insurance, unemployment insurance and pension benefits through a PRC government-mandated multi-employer defined contribution plan for our China-based employees. We contribute to Mandatory Provident Fund and provide labor insurance and medical insurance for our Hong Kong-based employees. In accordance with the Securities and Futures (Insurance) Rules of Hong Kong, we have purchased and maintained insurance for any loss incurred by us due to any loss to our clients’ assets in our custody that are caused by fraudulent conduct of our employees, robbery, theft or other misconduct. We do not maintain business interruption insurance or key-man insurance. We believe that our insurance coverage is adequate to cover our key assets, facilities and liabilities.</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Properties and Facilities</w:t>
      </w:r>
    </w:p>
    <w:p>
      <w:pPr>
        <w:spacing w:after="0" w:line="119" w:lineRule="exact"/>
        <w:rPr>
          <w:sz w:val="20"/>
          <w:szCs w:val="20"/>
          <w:color w:val="auto"/>
        </w:rPr>
      </w:pPr>
    </w:p>
    <w:p>
      <w:pPr>
        <w:ind w:left="240" w:right="80" w:firstLine="438"/>
        <w:spacing w:after="0" w:line="262" w:lineRule="auto"/>
        <w:rPr>
          <w:sz w:val="20"/>
          <w:szCs w:val="20"/>
          <w:color w:val="auto"/>
        </w:rPr>
      </w:pPr>
      <w:r>
        <w:rPr>
          <w:rFonts w:ascii="Arial" w:cs="Arial" w:eastAsia="Arial" w:hAnsi="Arial"/>
          <w:sz w:val="18"/>
          <w:szCs w:val="18"/>
          <w:color w:val="auto"/>
        </w:rPr>
        <w:t>Our principal executive offices are located on leased premises comprising approximately 613 square meters in Hong Kong and approximately 6,537 square meters in Shenzhen, China. Our principal executive offices are leased from independent third parties, and we plan to renew our lease from time to time as needed.</w:t>
      </w:r>
    </w:p>
    <w:p>
      <w:pPr>
        <w:spacing w:after="0" w:line="181" w:lineRule="exact"/>
        <w:rPr>
          <w:sz w:val="20"/>
          <w:szCs w:val="20"/>
          <w:color w:val="auto"/>
        </w:rPr>
      </w:pPr>
    </w:p>
    <w:p>
      <w:pPr>
        <w:jc w:val="both"/>
        <w:ind w:left="240" w:firstLine="438"/>
        <w:spacing w:after="0" w:line="309" w:lineRule="auto"/>
        <w:rPr>
          <w:sz w:val="20"/>
          <w:szCs w:val="20"/>
          <w:color w:val="auto"/>
        </w:rPr>
      </w:pPr>
      <w:r>
        <w:rPr>
          <w:rFonts w:ascii="Arial" w:cs="Arial" w:eastAsia="Arial" w:hAnsi="Arial"/>
          <w:sz w:val="16"/>
          <w:szCs w:val="16"/>
          <w:color w:val="auto"/>
        </w:rPr>
        <w:t>Our servers are hosted in leased internet data centers in different geographic regions in Hong Kong and China. We typically enter into leasing and hosting service agreements with these internet data center providers that are renewed periodically. We believe that our existing facilities are sufficient for our current needs, and we will obtain additional facilities, principally through leasing, to accommodate our future expansion plans.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Legal Proceedings</w:t>
      </w:r>
    </w:p>
    <w:p>
      <w:pPr>
        <w:spacing w:after="0" w:line="119"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costs and diversion of our resources, including our management’s time and attention. See “Risk Factors— Risks Related to Our Business and Industry—If we fail to protect the confidential information of our users and clients, whether due to cyber-attacks, computer viruses, physical or electronic break-ins or other</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240" w:top="457"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60"/>
        <w:spacing w:after="0" w:line="255" w:lineRule="auto"/>
        <w:rPr>
          <w:sz w:val="20"/>
          <w:szCs w:val="20"/>
          <w:color w:val="auto"/>
        </w:rPr>
      </w:pPr>
      <w:r>
        <w:rPr>
          <w:rFonts w:ascii="Arial" w:cs="Arial" w:eastAsia="Arial" w:hAnsi="Arial"/>
          <w:sz w:val="18"/>
          <w:szCs w:val="18"/>
          <w:color w:val="auto"/>
        </w:rPr>
        <w:t>reasons, we may be subject to liabilities imposed by relevant laws and regulations, and our reputation and business may be materially and adversely affected,” “Risk Factors—Risks Related to Our Business and Industry—We may be subject to intellectual property infringement claims, which may be expensive to defend and disruptive to our business and operations,” and “Risk Factors—Risks Related to Our Business and Industry—We may be subject to litigation and regulatory investigations and proceedings, and may not always be successful in defending ourselves against such claims or proceedings.”</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Ongoing Regulatory Actions</w:t>
      </w:r>
    </w:p>
    <w:p>
      <w:pPr>
        <w:spacing w:after="0" w:line="119" w:lineRule="exact"/>
        <w:rPr>
          <w:sz w:val="20"/>
          <w:szCs w:val="20"/>
          <w:color w:val="auto"/>
        </w:rPr>
      </w:pPr>
    </w:p>
    <w:p>
      <w:pPr>
        <w:ind w:left="240" w:right="100" w:firstLine="438"/>
        <w:spacing w:after="0" w:line="275" w:lineRule="auto"/>
        <w:rPr>
          <w:sz w:val="20"/>
          <w:szCs w:val="20"/>
          <w:color w:val="auto"/>
        </w:rPr>
      </w:pPr>
      <w:r>
        <w:rPr>
          <w:rFonts w:ascii="Arial" w:cs="Arial" w:eastAsia="Arial" w:hAnsi="Arial"/>
          <w:sz w:val="18"/>
          <w:szCs w:val="18"/>
          <w:color w:val="auto"/>
        </w:rPr>
        <w:t>We are subject to various regulatory requirements, including those specified in law, regulations and guidelines issued by the competent regulatory authorities in Hong Kong, including but not limited to the HK SFC.</w:t>
      </w:r>
    </w:p>
    <w:p>
      <w:pPr>
        <w:spacing w:after="0" w:line="170" w:lineRule="exact"/>
        <w:rPr>
          <w:sz w:val="20"/>
          <w:szCs w:val="20"/>
          <w:color w:val="auto"/>
        </w:rPr>
      </w:pPr>
    </w:p>
    <w:p>
      <w:pPr>
        <w:ind w:left="240" w:firstLine="438"/>
        <w:spacing w:after="0" w:line="274" w:lineRule="auto"/>
        <w:rPr>
          <w:sz w:val="20"/>
          <w:szCs w:val="20"/>
          <w:color w:val="auto"/>
        </w:rPr>
      </w:pPr>
      <w:r>
        <w:rPr>
          <w:rFonts w:ascii="Arial" w:cs="Arial" w:eastAsia="Arial" w:hAnsi="Arial"/>
          <w:sz w:val="17"/>
          <w:szCs w:val="17"/>
          <w:color w:val="auto"/>
        </w:rPr>
        <w:t>Futu International Hong Kong is a licensed corporation under the SFO and may be subject to HK SFC inquiries and investigations from time to time. As of the date of this prospectus, Futu International Hong Kong is involved in certain ongoing inquiries and investigations initiated by the HK SFC concerning its client onboarding processes, anti-money laundering laws, practices relating to protection of client assets, and handling and monitoring client orders and trading activities. The HK SFC’s inquiries and investigations remain ongoing and are subject to statutory secrecy under Section 378 of the SFO. Therefore, no additional details about them can be disclosed in this prospectus at this stage.</w:t>
      </w:r>
    </w:p>
    <w:p>
      <w:pPr>
        <w:spacing w:after="0" w:line="173" w:lineRule="exact"/>
        <w:rPr>
          <w:sz w:val="20"/>
          <w:szCs w:val="20"/>
          <w:color w:val="auto"/>
        </w:rPr>
      </w:pPr>
    </w:p>
    <w:p>
      <w:pPr>
        <w:ind w:left="240" w:right="80" w:firstLine="438"/>
        <w:spacing w:after="0" w:line="268" w:lineRule="auto"/>
        <w:rPr>
          <w:sz w:val="20"/>
          <w:szCs w:val="20"/>
          <w:color w:val="auto"/>
        </w:rPr>
      </w:pPr>
      <w:r>
        <w:rPr>
          <w:rFonts w:ascii="Arial" w:cs="Arial" w:eastAsia="Arial" w:hAnsi="Arial"/>
          <w:sz w:val="17"/>
          <w:szCs w:val="17"/>
          <w:color w:val="auto"/>
        </w:rPr>
        <w:t>As the foregoing inquiries and investigations from the HK SFC remain ongoing, it is not possible for us to accurately predict if any disciplinary action will be taken against Futu International Hong Kong after the conclusion of the inquiries and investigations and, if so, the nature and extent of any such action. If, after the HK SFC’s inquiries or investigations have been concluded, the HK SFC identifies misconduct or material non-compliance, the HK SFC can take various regulatory actions, which may include, among other things, reprimands, fines and/or suspension or revocation of licenses and trading rights and, if imposed, might materially and adversely affect our reputation, business, prospects and financial conditions. See “Risk Factors— Risks related to Our Business and Industry—We are subject to extensive and evolving regulatory requirements in Hong Kong,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 In addition, we are involved in ongoing inquiries and investigations by the HK SFC.”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7"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 of the Laws and Regulations Relating to Our Business and Operations in Hong Kong</w:t>
      </w:r>
    </w:p>
    <w:p>
      <w:pPr>
        <w:spacing w:after="0" w:line="119" w:lineRule="exact"/>
        <w:rPr>
          <w:sz w:val="20"/>
          <w:szCs w:val="20"/>
          <w:color w:val="auto"/>
        </w:rPr>
      </w:pPr>
    </w:p>
    <w:p>
      <w:pPr>
        <w:ind w:left="240" w:right="220" w:firstLine="438"/>
        <w:spacing w:after="0" w:line="305" w:lineRule="auto"/>
        <w:rPr>
          <w:sz w:val="20"/>
          <w:szCs w:val="20"/>
          <w:color w:val="auto"/>
        </w:rPr>
      </w:pPr>
      <w:r>
        <w:rPr>
          <w:rFonts w:ascii="Arial" w:cs="Arial" w:eastAsia="Arial" w:hAnsi="Arial"/>
          <w:sz w:val="17"/>
          <w:szCs w:val="17"/>
          <w:color w:val="auto"/>
        </w:rPr>
        <w:t>As we provide online brokerage services primarily from our subsidiaries in Hong Kong, our business operations are subject to the laws of Hong Kong. The key laws and regulations which relate to our business and operations in Hong Kong are summarized as follows: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Introduction</w:t>
      </w:r>
    </w:p>
    <w:p>
      <w:pPr>
        <w:spacing w:after="0" w:line="115" w:lineRule="exact"/>
        <w:rPr>
          <w:sz w:val="20"/>
          <w:szCs w:val="20"/>
          <w:color w:val="auto"/>
        </w:rPr>
      </w:pPr>
    </w:p>
    <w:p>
      <w:pPr>
        <w:jc w:val="both"/>
        <w:ind w:left="240" w:right="100" w:firstLine="438"/>
        <w:spacing w:after="0" w:line="309" w:lineRule="auto"/>
        <w:rPr>
          <w:sz w:val="20"/>
          <w:szCs w:val="20"/>
          <w:color w:val="auto"/>
        </w:rPr>
      </w:pPr>
      <w:r>
        <w:rPr>
          <w:rFonts w:ascii="Arial" w:cs="Arial" w:eastAsia="Arial" w:hAnsi="Arial"/>
          <w:sz w:val="16"/>
          <w:szCs w:val="16"/>
          <w:color w:val="auto"/>
        </w:rPr>
        <w:t>The Securities and Futures Ordinance, including its subsidiary legislation, is the principal legislation regulating the securities and futures industry in Hong Kong, including the regulation of securities, futures and leveraged foreign exchange markets, the offering of investments to the public in Hong Kong, and intermediaries and their conduct of regulated activities. In particular, Part V of the SFO deals with licensing and registration matters.</w:t>
      </w:r>
    </w:p>
    <w:p>
      <w:pPr>
        <w:spacing w:after="0" w:line="149" w:lineRule="exact"/>
        <w:rPr>
          <w:sz w:val="20"/>
          <w:szCs w:val="20"/>
          <w:color w:val="auto"/>
        </w:rPr>
      </w:pPr>
    </w:p>
    <w:p>
      <w:pPr>
        <w:ind w:left="240" w:right="560" w:firstLine="438"/>
        <w:spacing w:after="0" w:line="275" w:lineRule="auto"/>
        <w:rPr>
          <w:sz w:val="20"/>
          <w:szCs w:val="20"/>
          <w:color w:val="auto"/>
        </w:rPr>
      </w:pPr>
      <w:r>
        <w:rPr>
          <w:rFonts w:ascii="Arial" w:cs="Arial" w:eastAsia="Arial" w:hAnsi="Arial"/>
          <w:sz w:val="18"/>
          <w:szCs w:val="18"/>
          <w:color w:val="auto"/>
        </w:rPr>
        <w:t>The SFO is administered by the HK SFC which is an independent statutory body in Hong Kong set up to regulate the securities and futures markets and the non-bank leveraged foreign exchange market in Hong Kong.</w:t>
      </w:r>
    </w:p>
    <w:p>
      <w:pPr>
        <w:spacing w:after="0" w:line="170" w:lineRule="exact"/>
        <w:rPr>
          <w:sz w:val="20"/>
          <w:szCs w:val="20"/>
          <w:color w:val="auto"/>
        </w:rPr>
      </w:pPr>
    </w:p>
    <w:p>
      <w:pPr>
        <w:ind w:left="240" w:right="140" w:firstLine="438"/>
        <w:spacing w:after="0" w:line="300" w:lineRule="auto"/>
        <w:rPr>
          <w:sz w:val="20"/>
          <w:szCs w:val="20"/>
          <w:color w:val="auto"/>
        </w:rPr>
      </w:pPr>
      <w:r>
        <w:rPr>
          <w:rFonts w:ascii="Arial" w:cs="Arial" w:eastAsia="Arial" w:hAnsi="Arial"/>
          <w:sz w:val="16"/>
          <w:szCs w:val="16"/>
          <w:color w:val="auto"/>
        </w:rPr>
        <w:t>In addition, the Companies (Winding Up and Miscellaneous Provisions) Ordinance including its subsidiary legislation provides that the HK SFC is responsible for authorizing the registration of prospectuses for offerings of shares and debentures in Hong Kong and/or granting exemptions from strict compliance with the provisions in the Hong Kong Companies (Winding Up and Miscellaneous Provisions) Ordinance. The SFO provides that the HK SFC is also responsible for authorizing certain securities (including the relevant offering documents) that are not shares or debentures.</w:t>
      </w:r>
    </w:p>
    <w:p>
      <w:pPr>
        <w:spacing w:after="0" w:line="154" w:lineRule="exact"/>
        <w:rPr>
          <w:sz w:val="20"/>
          <w:szCs w:val="20"/>
          <w:color w:val="auto"/>
        </w:rPr>
      </w:pPr>
    </w:p>
    <w:p>
      <w:pPr>
        <w:ind w:left="240" w:right="300" w:firstLine="438"/>
        <w:spacing w:after="0" w:line="275" w:lineRule="auto"/>
        <w:rPr>
          <w:sz w:val="20"/>
          <w:szCs w:val="20"/>
          <w:color w:val="auto"/>
        </w:rPr>
      </w:pPr>
      <w:r>
        <w:rPr>
          <w:rFonts w:ascii="Arial" w:cs="Arial" w:eastAsia="Arial" w:hAnsi="Arial"/>
          <w:sz w:val="18"/>
          <w:szCs w:val="18"/>
          <w:color w:val="auto"/>
        </w:rPr>
        <w:t>The Hong Kong securities and futures industry (with respect to listed instruments) is also governed by the rules and regulations introduced and administered by the Stock Exchange and the Futures Exchange.</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Types of regulated activities</w:t>
      </w:r>
    </w:p>
    <w:p>
      <w:pPr>
        <w:spacing w:after="0" w:line="115" w:lineRule="exact"/>
        <w:rPr>
          <w:sz w:val="20"/>
          <w:szCs w:val="20"/>
          <w:color w:val="auto"/>
        </w:rPr>
      </w:pPr>
    </w:p>
    <w:p>
      <w:pPr>
        <w:ind w:left="240" w:right="60" w:firstLine="438"/>
        <w:spacing w:after="0" w:line="275" w:lineRule="auto"/>
        <w:rPr>
          <w:sz w:val="20"/>
          <w:szCs w:val="20"/>
          <w:color w:val="auto"/>
        </w:rPr>
      </w:pPr>
      <w:r>
        <w:rPr>
          <w:rFonts w:ascii="Arial" w:cs="Arial" w:eastAsia="Arial" w:hAnsi="Arial"/>
          <w:sz w:val="18"/>
          <w:szCs w:val="18"/>
          <w:color w:val="auto"/>
        </w:rPr>
        <w:t>The SFO provides a licensing regime where a person needs to obtain a license to carry on a business in any of the following regulated activities as defined in Schedule 5 to the SFO:</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License</w:t>
            </w:r>
          </w:p>
        </w:tc>
        <w:tc>
          <w:tcPr>
            <w:tcW w:w="680" w:type="dxa"/>
            <w:vAlign w:val="bottom"/>
          </w:tcPr>
          <w:p>
            <w:pPr>
              <w:spacing w:after="0"/>
              <w:rPr>
                <w:sz w:val="16"/>
                <w:szCs w:val="16"/>
                <w:color w:val="auto"/>
              </w:rPr>
            </w:pPr>
          </w:p>
        </w:tc>
        <w:tc>
          <w:tcPr>
            <w:tcW w:w="9820" w:type="dxa"/>
            <w:vAlign w:val="bottom"/>
            <w:gridSpan w:val="2"/>
          </w:tcPr>
          <w:p>
            <w:pPr>
              <w:ind w:left="500"/>
              <w:spacing w:after="0"/>
              <w:rPr>
                <w:sz w:val="20"/>
                <w:szCs w:val="20"/>
                <w:color w:val="auto"/>
              </w:rPr>
            </w:pPr>
            <w:r>
              <w:rPr>
                <w:rFonts w:ascii="Arial" w:cs="Arial" w:eastAsia="Arial" w:hAnsi="Arial"/>
                <w:sz w:val="14"/>
                <w:szCs w:val="14"/>
                <w:b w:val="1"/>
                <w:bCs w:val="1"/>
                <w:color w:val="auto"/>
              </w:rPr>
              <w:t>Regulated activity</w:t>
            </w:r>
          </w:p>
        </w:tc>
      </w:tr>
      <w:tr>
        <w:trPr>
          <w:trHeight w:val="187"/>
        </w:trPr>
        <w:tc>
          <w:tcPr>
            <w:tcW w:w="1140" w:type="dxa"/>
            <w:vAlign w:val="bottom"/>
            <w:gridSpan w:val="2"/>
          </w:tcPr>
          <w:p>
            <w:pPr>
              <w:spacing w:after="0" w:line="188" w:lineRule="exact"/>
              <w:rPr>
                <w:sz w:val="20"/>
                <w:szCs w:val="20"/>
                <w:color w:val="auto"/>
              </w:rPr>
            </w:pPr>
            <w:r>
              <w:rPr>
                <w:rFonts w:ascii="Arial" w:cs="Arial" w:eastAsia="Arial" w:hAnsi="Arial"/>
                <w:sz w:val="18"/>
                <w:szCs w:val="18"/>
                <w:color w:val="auto"/>
              </w:rPr>
              <w:t>Type 1:</w:t>
            </w:r>
          </w:p>
        </w:tc>
        <w:tc>
          <w:tcPr>
            <w:tcW w:w="500" w:type="dxa"/>
            <w:vAlign w:val="bottom"/>
          </w:tcPr>
          <w:p>
            <w:pPr>
              <w:spacing w:after="0"/>
              <w:rPr>
                <w:sz w:val="16"/>
                <w:szCs w:val="16"/>
                <w:color w:val="auto"/>
              </w:rPr>
            </w:pPr>
          </w:p>
        </w:tc>
        <w:tc>
          <w:tcPr>
            <w:tcW w:w="932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rPr>
              <w:t>Dealing in securities</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Type 2:</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Dealing in futures contracts</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Type 3:</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Leveraged foreign exchange trading</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Type 4:</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Advising on securities</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Type 5:</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Advising on futures contracts</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Type 6:</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Advising on corporate finance</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Type 7:</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Providing automated trading services</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Type 8:</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Securities margin financing</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Type 9:</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Asset management</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Type 10:</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Providing credit rating services</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Type 11:</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Dealing in OTC derivative products or advising on OTC derivative products</w:t>
            </w:r>
          </w:p>
        </w:tc>
      </w:tr>
      <w:tr>
        <w:trPr>
          <w:trHeight w:val="229"/>
        </w:trPr>
        <w:tc>
          <w:tcPr>
            <w:tcW w:w="1140" w:type="dxa"/>
            <w:vAlign w:val="bottom"/>
            <w:gridSpan w:val="2"/>
          </w:tcPr>
          <w:p>
            <w:pPr>
              <w:spacing w:after="0"/>
              <w:rPr>
                <w:sz w:val="20"/>
                <w:szCs w:val="20"/>
                <w:color w:val="auto"/>
              </w:rPr>
            </w:pPr>
            <w:r>
              <w:rPr>
                <w:rFonts w:ascii="Arial" w:cs="Arial" w:eastAsia="Arial" w:hAnsi="Arial"/>
                <w:sz w:val="18"/>
                <w:szCs w:val="18"/>
                <w:color w:val="auto"/>
              </w:rPr>
              <w:t>Type 12:</w:t>
            </w:r>
          </w:p>
        </w:tc>
        <w:tc>
          <w:tcPr>
            <w:tcW w:w="9820" w:type="dxa"/>
            <w:vAlign w:val="bottom"/>
            <w:gridSpan w:val="2"/>
          </w:tcPr>
          <w:p>
            <w:pPr>
              <w:ind w:left="500"/>
              <w:spacing w:after="0"/>
              <w:rPr>
                <w:sz w:val="20"/>
                <w:szCs w:val="20"/>
                <w:color w:val="auto"/>
              </w:rPr>
            </w:pPr>
            <w:r>
              <w:rPr>
                <w:rFonts w:ascii="Arial" w:cs="Arial" w:eastAsia="Arial" w:hAnsi="Arial"/>
                <w:sz w:val="18"/>
                <w:szCs w:val="18"/>
                <w:color w:val="auto"/>
              </w:rPr>
              <w:t>Providing client clearing services for OTC derivative transactions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85090</wp:posOffset>
            </wp:positionV>
            <wp:extent cx="6991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Notes:</w:t>
      </w:r>
    </w:p>
    <w:p>
      <w:pPr>
        <w:ind w:left="560" w:right="40" w:hanging="324"/>
        <w:spacing w:after="0" w:line="220" w:lineRule="auto"/>
        <w:tabs>
          <w:tab w:leader="none" w:pos="5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amendments to the SFO in relation to Type 11 regulated activity are not yet in operation. The day on which the Type 11 regulated activity will come into operation will be appointed by the Secretary for Financial Services and the Treasury by notice published in the Gazette.</w:t>
      </w:r>
    </w:p>
    <w:p>
      <w:pPr>
        <w:ind w:left="560" w:right="100" w:hanging="324"/>
        <w:spacing w:after="0" w:line="236" w:lineRule="auto"/>
        <w:tabs>
          <w:tab w:leader="none" w:pos="5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Type 12 regulated activity came into operation on September 1, 2016 pursuant to the Securities and Futures (Amendment) Ordinance 2014 (Commencement) Notice 2016 (L.N. 27 of 2016), in so far as it relates to paragraph (c) of the new definition of</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7"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560" w:right="60"/>
        <w:spacing w:after="0" w:line="250" w:lineRule="auto"/>
        <w:rPr>
          <w:sz w:val="20"/>
          <w:szCs w:val="20"/>
          <w:color w:val="auto"/>
        </w:rPr>
      </w:pPr>
      <w:r>
        <w:rPr>
          <w:rFonts w:ascii="Arial" w:cs="Arial" w:eastAsia="Arial" w:hAnsi="Arial"/>
          <w:sz w:val="14"/>
          <w:szCs w:val="14"/>
          <w:color w:val="auto"/>
        </w:rPr>
        <w:t>excluded services in Part 2 of Schedule 5 to the SFO. The licensing requirement with respect to Type 12 regulated activity is not yet in operation and the effective date will be appointed by the Secretary for Financial Services and the Treasury by notice published in the Gazette.</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As of the date of this prospectus, the following member of the Group were licensed under the SFO to conduct the following regulated activities:</w:t>
      </w:r>
    </w:p>
    <w:p>
      <w:pPr>
        <w:spacing w:after="0" w:line="264"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Regulated Activities by Type of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14605</wp:posOffset>
            </wp:positionV>
            <wp:extent cx="32658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 w:lineRule="exact"/>
        <w:rPr>
          <w:sz w:val="20"/>
          <w:szCs w:val="20"/>
          <w:color w:val="auto"/>
        </w:rPr>
      </w:pPr>
    </w:p>
    <w:p>
      <w:pPr>
        <w:ind w:left="240"/>
        <w:spacing w:after="0"/>
        <w:tabs>
          <w:tab w:leader="none" w:pos="6020" w:val="left"/>
        </w:tabs>
        <w:rPr>
          <w:sz w:val="20"/>
          <w:szCs w:val="20"/>
          <w:color w:val="auto"/>
        </w:rPr>
      </w:pPr>
      <w:r>
        <w:rPr>
          <w:rFonts w:ascii="Arial" w:cs="Arial" w:eastAsia="Arial" w:hAnsi="Arial"/>
          <w:sz w:val="18"/>
          <w:szCs w:val="18"/>
          <w:color w:val="auto"/>
        </w:rPr>
        <w:t>Futu International Hong Kong</w:t>
      </w:r>
      <w:r>
        <w:rPr>
          <w:sz w:val="20"/>
          <w:szCs w:val="20"/>
          <w:color w:val="auto"/>
        </w:rPr>
        <w:tab/>
      </w:r>
      <w:r>
        <w:rPr>
          <w:rFonts w:ascii="Arial" w:cs="Arial" w:eastAsia="Arial" w:hAnsi="Arial"/>
          <w:sz w:val="16"/>
          <w:szCs w:val="16"/>
          <w:color w:val="auto"/>
        </w:rPr>
        <w:t>Type 1, Type 2, Type 4, Type 5 and Type 9</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97790</wp:posOffset>
            </wp:positionV>
            <wp:extent cx="6991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Notes:</w:t>
      </w:r>
    </w:p>
    <w:p>
      <w:pPr>
        <w:ind w:left="240"/>
        <w:spacing w:after="0" w:line="220" w:lineRule="auto"/>
        <w:rPr>
          <w:sz w:val="20"/>
          <w:szCs w:val="20"/>
          <w:color w:val="auto"/>
        </w:rPr>
      </w:pPr>
      <w:r>
        <w:rPr>
          <w:rFonts w:ascii="Arial" w:cs="Arial" w:eastAsia="Arial" w:hAnsi="Arial"/>
          <w:sz w:val="14"/>
          <w:szCs w:val="14"/>
          <w:color w:val="auto"/>
        </w:rPr>
        <w:t>The following conditions are currently imposed on Futu International Hong Kong in relation to Type 9 regulated activity:</w:t>
      </w:r>
    </w:p>
    <w:p>
      <w:pPr>
        <w:ind w:left="560" w:hanging="324"/>
        <w:spacing w:after="0" w:line="220" w:lineRule="auto"/>
        <w:tabs>
          <w:tab w:leader="none" w:pos="5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licensee shall not provide a service of managing a portfolio of futures contracts for another person;</w:t>
      </w:r>
    </w:p>
    <w:p>
      <w:pPr>
        <w:ind w:left="560" w:hanging="324"/>
        <w:spacing w:after="0" w:line="220" w:lineRule="auto"/>
        <w:tabs>
          <w:tab w:leader="none" w:pos="5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licensee shall not conduct business involving the discretionary management of any “collective investment scheme” as defined under the SFO; and</w:t>
      </w:r>
    </w:p>
    <w:p>
      <w:pPr>
        <w:ind w:left="560" w:hanging="324"/>
        <w:spacing w:after="0"/>
        <w:tabs>
          <w:tab w:leader="none" w:pos="5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licensee shall only provide services to “professional investors” as defined under the SFO and its subsidiary legislation.</w:t>
      </w:r>
    </w:p>
    <w:p>
      <w:pPr>
        <w:spacing w:after="0" w:line="194" w:lineRule="exact"/>
        <w:rPr>
          <w:sz w:val="20"/>
          <w:szCs w:val="20"/>
          <w:color w:val="auto"/>
        </w:rPr>
      </w:pPr>
    </w:p>
    <w:p>
      <w:pPr>
        <w:ind w:left="240" w:right="400" w:firstLine="438"/>
        <w:spacing w:after="0" w:line="262" w:lineRule="auto"/>
        <w:rPr>
          <w:sz w:val="20"/>
          <w:szCs w:val="20"/>
          <w:color w:val="auto"/>
        </w:rPr>
      </w:pPr>
      <w:r>
        <w:rPr>
          <w:rFonts w:ascii="Arial" w:cs="Arial" w:eastAsia="Arial" w:hAnsi="Arial"/>
          <w:sz w:val="18"/>
          <w:szCs w:val="18"/>
          <w:color w:val="auto"/>
        </w:rPr>
        <w:t>In addition to the above licenses granted to Futu International Hong Kong by the HK SFC, Futu Lending Limited also holds a money lenders license issued by the licensing court under the Money Lenders Ordinance, which allows it to provide loans to its clients in its ordinary course of business.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 of Licensing Requirements under the SFO</w:t>
      </w:r>
    </w:p>
    <w:p>
      <w:pPr>
        <w:spacing w:after="0" w:line="115" w:lineRule="exact"/>
        <w:rPr>
          <w:sz w:val="20"/>
          <w:szCs w:val="20"/>
          <w:color w:val="auto"/>
        </w:rPr>
      </w:pPr>
    </w:p>
    <w:p>
      <w:pPr>
        <w:ind w:left="240" w:right="20" w:firstLine="438"/>
        <w:spacing w:after="0" w:line="300" w:lineRule="auto"/>
        <w:rPr>
          <w:sz w:val="20"/>
          <w:szCs w:val="20"/>
          <w:color w:val="auto"/>
        </w:rPr>
      </w:pPr>
      <w:r>
        <w:rPr>
          <w:rFonts w:ascii="Arial" w:cs="Arial" w:eastAsia="Arial" w:hAnsi="Arial"/>
          <w:sz w:val="16"/>
          <w:szCs w:val="16"/>
          <w:color w:val="auto"/>
        </w:rPr>
        <w:t>Under the SFO, any person who carries on a business in a regulated activity or holds itself out as carrying on a business in a regulated activity must be licensed under the relevant provisions of the SFO to carry on that regulated activity, unless any exemption under the SFO applies. This applies to a corporation carrying on a business in a regulated activity and to any individuals acting on behalf of that corporation in carrying on such activities, as further described below. It is an offense for a person to conduct any regulated activity without the appropriate license issued by the HK SFC.</w:t>
      </w:r>
    </w:p>
    <w:p>
      <w:pPr>
        <w:spacing w:after="0" w:line="154" w:lineRule="exact"/>
        <w:rPr>
          <w:sz w:val="20"/>
          <w:szCs w:val="20"/>
          <w:color w:val="auto"/>
        </w:rPr>
      </w:pPr>
    </w:p>
    <w:p>
      <w:pPr>
        <w:jc w:val="both"/>
        <w:ind w:left="240" w:firstLine="438"/>
        <w:spacing w:after="0" w:line="262" w:lineRule="auto"/>
        <w:rPr>
          <w:sz w:val="20"/>
          <w:szCs w:val="20"/>
          <w:color w:val="auto"/>
        </w:rPr>
      </w:pPr>
      <w:r>
        <w:rPr>
          <w:rFonts w:ascii="Arial" w:cs="Arial" w:eastAsia="Arial" w:hAnsi="Arial"/>
          <w:sz w:val="18"/>
          <w:szCs w:val="18"/>
          <w:color w:val="auto"/>
        </w:rPr>
        <w:t>Further, if a person (whether by itself or another person on his behalf, and whether in Hong Kong or from a place outside of Hong Kong) actively markets to the public in Hong Kong any services that it provides and such services, if provided in Hong Kong, would constitute a regulated activity, then that person is also subject to the licensing requirements under the SFO.</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Responsible Officers</w:t>
      </w:r>
    </w:p>
    <w:p>
      <w:pPr>
        <w:spacing w:after="0" w:line="115" w:lineRule="exact"/>
        <w:rPr>
          <w:sz w:val="20"/>
          <w:szCs w:val="20"/>
          <w:color w:val="auto"/>
        </w:rPr>
      </w:pPr>
    </w:p>
    <w:p>
      <w:pPr>
        <w:ind w:left="240" w:right="540" w:firstLine="438"/>
        <w:spacing w:after="0" w:line="339" w:lineRule="auto"/>
        <w:rPr>
          <w:sz w:val="20"/>
          <w:szCs w:val="20"/>
          <w:color w:val="auto"/>
        </w:rPr>
      </w:pPr>
      <w:r>
        <w:rPr>
          <w:rFonts w:ascii="Arial" w:cs="Arial" w:eastAsia="Arial" w:hAnsi="Arial"/>
          <w:sz w:val="16"/>
          <w:szCs w:val="16"/>
          <w:color w:val="auto"/>
        </w:rPr>
        <w:t>In order for a licensed corporation to carry on any of the regulated activities, it must appoint no less than two Responsible Officers for each regulated activity conducted by a licensed corporation, at least one of whom must be an executive director, to supervise each regulated activity.</w:t>
      </w:r>
    </w:p>
    <w:p>
      <w:pPr>
        <w:spacing w:after="0" w:line="125"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color w:val="auto"/>
        </w:rPr>
        <w:t>An “executive director” of a licensed corporation is defined as a director of the corporation who (a) actively participates in or (b) is responsible for directly supervising, the business of a regulated activity or activities for which the corporation is licensed. Every executive director of the licensed corporation who is an individual must apply to the HK SFC to be approved as a Responsible Officer of such licensed corporation in relation to the regulated activities.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Managers-in-Charge of Core Functions (“MICs”)</w:t>
      </w:r>
    </w:p>
    <w:p>
      <w:pPr>
        <w:spacing w:after="0" w:line="115" w:lineRule="exact"/>
        <w:rPr>
          <w:sz w:val="20"/>
          <w:szCs w:val="20"/>
          <w:color w:val="auto"/>
        </w:rPr>
      </w:pPr>
    </w:p>
    <w:p>
      <w:pPr>
        <w:ind w:left="240" w:right="40" w:firstLine="438"/>
        <w:spacing w:after="0" w:line="262" w:lineRule="auto"/>
        <w:rPr>
          <w:sz w:val="20"/>
          <w:szCs w:val="20"/>
          <w:color w:val="auto"/>
        </w:rPr>
      </w:pPr>
      <w:r>
        <w:rPr>
          <w:rFonts w:ascii="Arial" w:cs="Arial" w:eastAsia="Arial" w:hAnsi="Arial"/>
          <w:sz w:val="18"/>
          <w:szCs w:val="18"/>
          <w:color w:val="auto"/>
        </w:rPr>
        <w:t>A licensed corporation is required to designate certain individuals as MICs and provide to the HK SFC information about its MICs and their reporting lines. MICs are individuals appointed by a licensed corporation to be principally responsible, either alone or with others, for managing each of the following eight core functions of the licensed corporation:</w:t>
      </w:r>
    </w:p>
    <w:p>
      <w:pPr>
        <w:spacing w:after="0" w:line="87" w:lineRule="exact"/>
        <w:rPr>
          <w:sz w:val="20"/>
          <w:szCs w:val="20"/>
          <w:color w:val="auto"/>
        </w:rPr>
      </w:pPr>
    </w:p>
    <w:p>
      <w:pPr>
        <w:ind w:left="1100" w:hanging="435"/>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overall management oversight;</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240" w:top="457"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100" w:hanging="435"/>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key business lines;</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operational control and review;</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finance and accounting;</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information technology;</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compliance; and</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anti-money laundering and counter-terrorist financing.</w:t>
      </w:r>
    </w:p>
    <w:p>
      <w:pPr>
        <w:spacing w:after="0" w:line="223" w:lineRule="exact"/>
        <w:rPr>
          <w:sz w:val="20"/>
          <w:szCs w:val="20"/>
          <w:color w:val="auto"/>
        </w:rPr>
      </w:pPr>
    </w:p>
    <w:p>
      <w:pPr>
        <w:ind w:left="240" w:right="120" w:firstLine="438"/>
        <w:spacing w:after="0" w:line="262" w:lineRule="auto"/>
        <w:rPr>
          <w:sz w:val="20"/>
          <w:szCs w:val="20"/>
          <w:color w:val="auto"/>
        </w:rPr>
      </w:pPr>
      <w:r>
        <w:rPr>
          <w:rFonts w:ascii="Arial" w:cs="Arial" w:eastAsia="Arial" w:hAnsi="Arial"/>
          <w:sz w:val="18"/>
          <w:szCs w:val="18"/>
          <w:color w:val="auto"/>
        </w:rPr>
        <w:t>The management structure of a licensed corporation (including its appointment of MICs) should be approved by the board of the licensed corporation. The board should ensure that each of the licensed corporation’s MICs has acknowledged his or her appointment as MIC and the particular core function(s) for which he or she is principally responsible.</w:t>
      </w:r>
    </w:p>
    <w:p>
      <w:pPr>
        <w:spacing w:after="0" w:line="181"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The MIC regime came into effect on April 18, 2017 but the HK SFC has granted licensed corporations a three-month grace period to comply with the new requirements. The grace period expired on July 17, 2017.</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Licensed Representatives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addition to the licensing requirements for corporations that carry on regulated activities, any individual who:</w:t>
      </w:r>
    </w:p>
    <w:p>
      <w:pPr>
        <w:spacing w:after="0" w:line="129" w:lineRule="exact"/>
        <w:rPr>
          <w:sz w:val="20"/>
          <w:szCs w:val="20"/>
          <w:color w:val="auto"/>
        </w:rPr>
      </w:pPr>
    </w:p>
    <w:p>
      <w:pPr>
        <w:ind w:left="1100" w:right="120" w:hanging="435"/>
        <w:spacing w:after="0" w:line="275" w:lineRule="auto"/>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performs any regulated function for his principal which is a licensed corporation in relation to a regulated activity carried on as a business; or</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holds himself out as performing such regulated function,</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must separately be licensed under the SFO as a Licensed Representative accredited to his principal.</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Fit and Proper Requirement</w:t>
      </w:r>
    </w:p>
    <w:p>
      <w:pPr>
        <w:spacing w:after="0" w:line="115" w:lineRule="exact"/>
        <w:rPr>
          <w:sz w:val="20"/>
          <w:szCs w:val="20"/>
          <w:color w:val="auto"/>
        </w:rPr>
      </w:pPr>
    </w:p>
    <w:p>
      <w:pPr>
        <w:ind w:left="240" w:right="20" w:firstLine="438"/>
        <w:spacing w:after="0" w:line="274" w:lineRule="auto"/>
        <w:rPr>
          <w:sz w:val="20"/>
          <w:szCs w:val="20"/>
          <w:color w:val="auto"/>
        </w:rPr>
      </w:pPr>
      <w:r>
        <w:rPr>
          <w:rFonts w:ascii="Arial" w:cs="Arial" w:eastAsia="Arial" w:hAnsi="Arial"/>
          <w:sz w:val="17"/>
          <w:szCs w:val="17"/>
          <w:color w:val="auto"/>
        </w:rPr>
        <w:t>Persons who apply for licenses to carry on regulated activities under the SFO must satisfy, and continue to satisfy the HK SFC after the grant of such licenses by the HK SFC, that they are fit and proper persons to be so licensed. The Fit and Proper Guidelines issued by the HK SFC under section 399 of the SFO summaries certain matters that the HK SFC will generally consider when determining whether the applicant is a fit and proper person to be licensed under the SFO. In particular, Appendix I to the Fit and Proper Guidelines sets out additional fit and proper guidelines for corporations and authorized financial institutions applying or continuing to act as sponsors and compliance advisers.</w:t>
      </w:r>
    </w:p>
    <w:p>
      <w:pPr>
        <w:spacing w:after="0" w:line="173" w:lineRule="exact"/>
        <w:rPr>
          <w:sz w:val="20"/>
          <w:szCs w:val="20"/>
          <w:color w:val="auto"/>
        </w:rPr>
      </w:pPr>
    </w:p>
    <w:p>
      <w:pPr>
        <w:ind w:left="240" w:right="300" w:firstLine="438"/>
        <w:spacing w:after="0" w:line="275" w:lineRule="auto"/>
        <w:rPr>
          <w:sz w:val="20"/>
          <w:szCs w:val="20"/>
          <w:color w:val="auto"/>
        </w:rPr>
      </w:pPr>
      <w:r>
        <w:rPr>
          <w:rFonts w:ascii="Arial" w:cs="Arial" w:eastAsia="Arial" w:hAnsi="Arial"/>
          <w:sz w:val="18"/>
          <w:szCs w:val="18"/>
          <w:color w:val="auto"/>
        </w:rPr>
        <w:t>Under the Fit and Proper Guidelines, the HK SFC will consider the following matters of the applicant in addition to any other issues as it may consider to be relevant:</w:t>
      </w:r>
    </w:p>
    <w:p>
      <w:pPr>
        <w:spacing w:after="0" w:line="76" w:lineRule="exact"/>
        <w:rPr>
          <w:sz w:val="20"/>
          <w:szCs w:val="20"/>
          <w:color w:val="auto"/>
        </w:rPr>
      </w:pPr>
    </w:p>
    <w:p>
      <w:pPr>
        <w:ind w:left="1100" w:hanging="435"/>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financial status or solvency;</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educational or other qualifications or experience having regard to the nature of the functions to be performed;</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to carry on the regulated activity competently, honestly and fairly; and</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reputation, character, reliability and financial integrity.</w:t>
      </w:r>
    </w:p>
    <w:p>
      <w:pPr>
        <w:spacing w:after="0" w:line="223" w:lineRule="exact"/>
        <w:rPr>
          <w:sz w:val="20"/>
          <w:szCs w:val="20"/>
          <w:color w:val="auto"/>
        </w:rPr>
      </w:pPr>
    </w:p>
    <w:p>
      <w:pPr>
        <w:ind w:left="240" w:right="20" w:firstLine="438"/>
        <w:spacing w:after="0" w:line="275" w:lineRule="auto"/>
        <w:rPr>
          <w:sz w:val="20"/>
          <w:szCs w:val="20"/>
          <w:color w:val="auto"/>
        </w:rPr>
      </w:pPr>
      <w:r>
        <w:rPr>
          <w:rFonts w:ascii="Arial" w:cs="Arial" w:eastAsia="Arial" w:hAnsi="Arial"/>
          <w:sz w:val="18"/>
          <w:szCs w:val="18"/>
          <w:color w:val="auto"/>
        </w:rPr>
        <w:t>The HK SFC will consider the above matters in respect of the person (if an individual), the corporation and any of its officers (if a corporation) or the institution, its directors, chief executive, managers and executive officers (if an authorized financial institution).</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240" w:top="457"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 addition to the above, the HK SFC may also take into account of the following matters:</w:t>
      </w:r>
    </w:p>
    <w:p>
      <w:pPr>
        <w:spacing w:after="0" w:line="129" w:lineRule="exact"/>
        <w:rPr>
          <w:sz w:val="20"/>
          <w:szCs w:val="20"/>
          <w:color w:val="auto"/>
        </w:rPr>
      </w:pPr>
    </w:p>
    <w:p>
      <w:pPr>
        <w:ind w:left="1100" w:right="100" w:hanging="435"/>
        <w:spacing w:after="0" w:line="262"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decisions made by the Monetary Authority, the Insurance Authority, the Mandatory Provident Fund Schemes Authority or any other authorities or organizations performing similar functions as those of SFC (in the HK SFC’s opinion) whether in Hong Kong or elsewhere in respect of the applicant;</w:t>
      </w:r>
    </w:p>
    <w:p>
      <w:pPr>
        <w:spacing w:after="0" w:line="87" w:lineRule="exact"/>
        <w:rPr>
          <w:rFonts w:ascii="Arial" w:cs="Arial" w:eastAsia="Arial" w:hAnsi="Arial"/>
          <w:sz w:val="18"/>
          <w:szCs w:val="18"/>
          <w:color w:val="auto"/>
        </w:rPr>
      </w:pPr>
    </w:p>
    <w:p>
      <w:pPr>
        <w:ind w:left="1100" w:hanging="435"/>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information relating to:</w:t>
      </w:r>
    </w:p>
    <w:p>
      <w:pPr>
        <w:spacing w:after="0" w:line="128" w:lineRule="exact"/>
        <w:rPr>
          <w:rFonts w:ascii="Arial" w:cs="Arial" w:eastAsia="Arial" w:hAnsi="Arial"/>
          <w:sz w:val="18"/>
          <w:szCs w:val="18"/>
          <w:color w:val="auto"/>
        </w:rPr>
      </w:pPr>
    </w:p>
    <w:p>
      <w:pPr>
        <w:ind w:left="1640" w:hanging="532"/>
        <w:spacing w:after="0"/>
        <w:tabs>
          <w:tab w:leader="none" w:pos="16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person who is or is to be employed by, or associated with, the applicant for the purpose of the regulated activity in question;</w:t>
      </w:r>
    </w:p>
    <w:p>
      <w:pPr>
        <w:spacing w:after="0" w:line="151" w:lineRule="exact"/>
        <w:rPr>
          <w:rFonts w:ascii="Arial" w:cs="Arial" w:eastAsia="Arial" w:hAnsi="Arial"/>
          <w:sz w:val="16"/>
          <w:szCs w:val="16"/>
          <w:color w:val="auto"/>
        </w:rPr>
      </w:pPr>
    </w:p>
    <w:p>
      <w:pPr>
        <w:ind w:left="1640" w:hanging="532"/>
        <w:spacing w:after="0"/>
        <w:tabs>
          <w:tab w:leader="none" w:pos="1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person who will be acting for or on behalf of the applicant in relation to the regulated activity in question; and</w:t>
      </w:r>
    </w:p>
    <w:p>
      <w:pPr>
        <w:spacing w:after="0" w:line="128" w:lineRule="exact"/>
        <w:rPr>
          <w:rFonts w:ascii="Arial" w:cs="Arial" w:eastAsia="Arial" w:hAnsi="Arial"/>
          <w:sz w:val="18"/>
          <w:szCs w:val="18"/>
          <w:color w:val="auto"/>
        </w:rPr>
      </w:pPr>
    </w:p>
    <w:p>
      <w:pPr>
        <w:ind w:left="1640" w:right="780" w:hanging="532"/>
        <w:spacing w:after="0" w:line="275" w:lineRule="auto"/>
        <w:tabs>
          <w:tab w:leader="none" w:pos="1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applicant is a corporation in a group of companies, any other corporation within the same group of companies or any substantial shareholder or officer of any such corporation;</w:t>
      </w:r>
    </w:p>
    <w:p>
      <w:pPr>
        <w:spacing w:after="0" w:line="76" w:lineRule="exact"/>
        <w:rPr>
          <w:rFonts w:ascii="Arial" w:cs="Arial" w:eastAsia="Arial" w:hAnsi="Arial"/>
          <w:sz w:val="18"/>
          <w:szCs w:val="18"/>
          <w:color w:val="auto"/>
        </w:rPr>
      </w:pPr>
    </w:p>
    <w:p>
      <w:pPr>
        <w:ind w:left="1100" w:right="240" w:hanging="435"/>
        <w:spacing w:after="0" w:line="275" w:lineRule="auto"/>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the applicant has established effective internal control procedures and risk management systems to ensure its compliance with all applicable regulatory requirements under any of the relevant provisions; and</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state of affairs of any other business which the person carries on or proposes to carry on.</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Obligations of Licensed Corporations</w:t>
      </w:r>
    </w:p>
    <w:p>
      <w:pPr>
        <w:spacing w:after="0" w:line="115" w:lineRule="exact"/>
        <w:rPr>
          <w:sz w:val="20"/>
          <w:szCs w:val="20"/>
          <w:color w:val="auto"/>
        </w:rPr>
      </w:pPr>
    </w:p>
    <w:p>
      <w:pPr>
        <w:ind w:left="240" w:right="260" w:firstLine="438"/>
        <w:spacing w:after="0" w:line="339" w:lineRule="auto"/>
        <w:rPr>
          <w:sz w:val="20"/>
          <w:szCs w:val="20"/>
          <w:color w:val="auto"/>
        </w:rPr>
      </w:pPr>
      <w:r>
        <w:rPr>
          <w:rFonts w:ascii="Arial" w:cs="Arial" w:eastAsia="Arial" w:hAnsi="Arial"/>
          <w:sz w:val="16"/>
          <w:szCs w:val="16"/>
          <w:color w:val="auto"/>
        </w:rPr>
        <w:t>Licensed corporations, Licensed Representatives and Responsible Officers must remain fit and proper at all times. They are required to comply with all applicable provisions of the SFO and its subsidiary rules and regulations, as well as the codes and guidelines issued by the HK SFC.</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Outlined below are some of the key continuing obligations of the licensed corporations within the Group under the SFO:</w:t>
      </w:r>
    </w:p>
    <w:p>
      <w:pPr>
        <w:spacing w:after="0" w:line="129" w:lineRule="exact"/>
        <w:rPr>
          <w:sz w:val="20"/>
          <w:szCs w:val="20"/>
          <w:color w:val="auto"/>
        </w:rPr>
      </w:pPr>
    </w:p>
    <w:p>
      <w:pPr>
        <w:ind w:left="1100" w:right="60" w:hanging="435"/>
        <w:spacing w:after="0" w:line="275" w:lineRule="auto"/>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maintenance of minimum paid-up share capital and liquid capital, and submission of financial returns to the HK SFC in accordance with the requirements under the FRR;</w:t>
      </w:r>
    </w:p>
    <w:p>
      <w:pPr>
        <w:spacing w:after="0" w:line="76" w:lineRule="exact"/>
        <w:rPr>
          <w:rFonts w:ascii="Arial" w:cs="Arial" w:eastAsia="Arial" w:hAnsi="Arial"/>
          <w:sz w:val="18"/>
          <w:szCs w:val="18"/>
          <w:color w:val="auto"/>
        </w:rPr>
      </w:pPr>
    </w:p>
    <w:p>
      <w:pPr>
        <w:ind w:left="1100" w:right="20" w:hanging="435"/>
        <w:spacing w:after="0" w:line="275" w:lineRule="auto"/>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maintenance of segregated account(s), and custody and handling of client securities in accordance with the requirements under the Securities and Futures (Client Securities) Rules (Chapter 571H of the Laws of Hong Kong);</w:t>
      </w:r>
    </w:p>
    <w:p>
      <w:pPr>
        <w:spacing w:after="0" w:line="76" w:lineRule="exact"/>
        <w:rPr>
          <w:rFonts w:ascii="Arial" w:cs="Arial" w:eastAsia="Arial" w:hAnsi="Arial"/>
          <w:sz w:val="18"/>
          <w:szCs w:val="18"/>
          <w:color w:val="auto"/>
        </w:rPr>
      </w:pPr>
    </w:p>
    <w:p>
      <w:pPr>
        <w:ind w:left="1100" w:right="240" w:hanging="435"/>
        <w:spacing w:after="0" w:line="275" w:lineRule="auto"/>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maintenance of segregated account(s), and holding and payment of client money in accordance with the requirements under the Securities and Futures (Client Money) Rules (Chapter 571I of the Laws of Hong Kong);</w:t>
      </w:r>
    </w:p>
    <w:p>
      <w:pPr>
        <w:spacing w:after="0" w:line="76" w:lineRule="exact"/>
        <w:rPr>
          <w:rFonts w:ascii="Arial" w:cs="Arial" w:eastAsia="Arial" w:hAnsi="Arial"/>
          <w:sz w:val="18"/>
          <w:szCs w:val="18"/>
          <w:color w:val="auto"/>
        </w:rPr>
      </w:pPr>
    </w:p>
    <w:p>
      <w:pPr>
        <w:ind w:left="1100" w:hanging="435"/>
        <w:spacing w:after="0" w:line="275" w:lineRule="auto"/>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issuance of contract notes, statements of account and receipts in accordance with the requirements under the Securities and Futures (Contract Notes, Statements of Account and Receipts) Rules (Chapter 571Q of the Laws of Hong Kong);</w:t>
      </w:r>
    </w:p>
    <w:p>
      <w:pPr>
        <w:spacing w:after="0" w:line="76" w:lineRule="exact"/>
        <w:rPr>
          <w:rFonts w:ascii="Arial" w:cs="Arial" w:eastAsia="Arial" w:hAnsi="Arial"/>
          <w:sz w:val="18"/>
          <w:szCs w:val="18"/>
          <w:color w:val="auto"/>
        </w:rPr>
      </w:pPr>
    </w:p>
    <w:p>
      <w:pPr>
        <w:ind w:left="1100" w:right="100" w:hanging="435"/>
        <w:spacing w:after="0" w:line="275" w:lineRule="auto"/>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maintenance of proper records in accordance with the requirements prescribed under the Securities and Futures (Keeping of Records) Rules (Chapter 571O of the Laws of Hong Kong);</w:t>
      </w:r>
    </w:p>
    <w:p>
      <w:pPr>
        <w:spacing w:after="0" w:line="76" w:lineRule="exact"/>
        <w:rPr>
          <w:rFonts w:ascii="Arial" w:cs="Arial" w:eastAsia="Arial" w:hAnsi="Arial"/>
          <w:sz w:val="18"/>
          <w:szCs w:val="18"/>
          <w:color w:val="auto"/>
        </w:rPr>
      </w:pPr>
    </w:p>
    <w:p>
      <w:pPr>
        <w:ind w:left="1100" w:right="700" w:hanging="435"/>
        <w:spacing w:after="0" w:line="275" w:lineRule="auto"/>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submission of audited accounts and other required documents in accordance with the requirements under the Securities and Futures (Accounts and Audit) Rules (Chapter 571P of the Laws of Hong Kong);</w:t>
      </w:r>
    </w:p>
    <w:p>
      <w:pPr>
        <w:spacing w:after="0" w:line="76" w:lineRule="exact"/>
        <w:rPr>
          <w:rFonts w:ascii="Arial" w:cs="Arial" w:eastAsia="Arial" w:hAnsi="Arial"/>
          <w:sz w:val="18"/>
          <w:szCs w:val="18"/>
          <w:color w:val="auto"/>
        </w:rPr>
      </w:pPr>
    </w:p>
    <w:p>
      <w:pPr>
        <w:ind w:left="1100" w:right="160" w:hanging="435"/>
        <w:spacing w:after="0" w:line="275" w:lineRule="auto"/>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maintenance of insurance against specific risks for specified amounts in accordance with the requirements under the Securities and Futures (Insurance) Rules (Chapter 571AI of the Laws of Hong Kong);</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payment of annual fees and submission of annual returns to the HK SFC within one month after each anniversary date of the license;</w:t>
      </w:r>
    </w:p>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7"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100" w:right="200" w:hanging="435"/>
        <w:spacing w:after="0" w:line="275"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notification to the HK SFC of certain changes and events in accordance with the requirements under the Securities and Futures (Licensing and Registration) (Information) Rules (Chapter 571S of the Laws of Hong Kong);</w:t>
      </w:r>
    </w:p>
    <w:p>
      <w:pPr>
        <w:spacing w:after="0" w:line="76" w:lineRule="exact"/>
        <w:rPr>
          <w:rFonts w:ascii="Arial" w:cs="Arial" w:eastAsia="Arial" w:hAnsi="Arial"/>
          <w:sz w:val="18"/>
          <w:szCs w:val="18"/>
          <w:color w:val="auto"/>
        </w:rPr>
      </w:pPr>
    </w:p>
    <w:p>
      <w:pPr>
        <w:ind w:left="1100" w:hanging="435"/>
        <w:spacing w:after="0" w:line="262"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notification to the HK SFC of any changes in the appointment of MICs or any changes in certain particulars of MICs pursuant to the Circular to Licensed Corporations Regarding Measures for Augmenting the Accountability of Senior Management dated December 16, 2016 issued by the HK SFC;</w:t>
      </w:r>
    </w:p>
    <w:p>
      <w:pPr>
        <w:spacing w:after="0" w:line="87" w:lineRule="exact"/>
        <w:rPr>
          <w:rFonts w:ascii="Arial" w:cs="Arial" w:eastAsia="Arial" w:hAnsi="Arial"/>
          <w:sz w:val="18"/>
          <w:szCs w:val="18"/>
          <w:color w:val="auto"/>
        </w:rPr>
      </w:pPr>
    </w:p>
    <w:p>
      <w:pPr>
        <w:ind w:left="1100" w:right="720" w:hanging="435"/>
        <w:spacing w:after="0" w:line="275"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compliance with the continuous professional training and related record keeping requirements under the Guidelines on Continuous Professional Training issued by the HK SFC;</w:t>
      </w:r>
    </w:p>
    <w:p>
      <w:pPr>
        <w:spacing w:after="0" w:line="76" w:lineRule="exact"/>
        <w:rPr>
          <w:rFonts w:ascii="Arial" w:cs="Arial" w:eastAsia="Arial" w:hAnsi="Arial"/>
          <w:sz w:val="18"/>
          <w:szCs w:val="18"/>
          <w:color w:val="auto"/>
        </w:rPr>
      </w:pPr>
    </w:p>
    <w:p>
      <w:pPr>
        <w:jc w:val="both"/>
        <w:ind w:left="1100" w:right="140" w:hanging="435"/>
        <w:spacing w:after="0" w:line="309" w:lineRule="auto"/>
        <w:tabs>
          <w:tab w:leader="none" w:pos="11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implementation of appropriate policies and procedures relating to client acceptance, client due diligence, record keeping, identification and reporting of suspicious transactions and staff screening, education and training in accordance with the requirements under the Guideline on Anti-Money Laundering and Counter-Terrorist Financing issued by the HK SFC (the “AMLCTF Guideline”);</w:t>
      </w:r>
    </w:p>
    <w:p>
      <w:pPr>
        <w:spacing w:after="0" w:line="54" w:lineRule="exact"/>
        <w:rPr>
          <w:rFonts w:ascii="Arial" w:cs="Arial" w:eastAsia="Arial" w:hAnsi="Arial"/>
          <w:sz w:val="16"/>
          <w:szCs w:val="16"/>
          <w:color w:val="auto"/>
        </w:rPr>
      </w:pPr>
    </w:p>
    <w:p>
      <w:pPr>
        <w:ind w:left="1100" w:right="40" w:hanging="435"/>
        <w:spacing w:after="0" w:line="262"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compliance with the business conduct requirements under the Code of Conduct for Persons Licensed by or Registered with the HK SFC, the Management, Supervision and Internal Control Guidelines for Persons Licensed by or Registered with the HK SFC and the Fit and Proper Guidelines;</w:t>
      </w:r>
    </w:p>
    <w:p>
      <w:pPr>
        <w:spacing w:after="0" w:line="87" w:lineRule="exact"/>
        <w:rPr>
          <w:rFonts w:ascii="Arial" w:cs="Arial" w:eastAsia="Arial" w:hAnsi="Arial"/>
          <w:sz w:val="18"/>
          <w:szCs w:val="18"/>
          <w:color w:val="auto"/>
        </w:rPr>
      </w:pPr>
    </w:p>
    <w:p>
      <w:pPr>
        <w:ind w:left="1100" w:right="80" w:hanging="435"/>
        <w:spacing w:after="0" w:line="262"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compliance with employee dealings requirements under the Code of Conduct for Persons Licensed by or Registered with the HK SFC, which requires licensed corporations to implement procedures and policies on employee trading, to actively monitor the trading activities in their employees’ accounts and their related accounts; and</w:t>
      </w:r>
    </w:p>
    <w:p>
      <w:pPr>
        <w:spacing w:after="0" w:line="87" w:lineRule="exact"/>
        <w:rPr>
          <w:rFonts w:ascii="Arial" w:cs="Arial" w:eastAsia="Arial" w:hAnsi="Arial"/>
          <w:sz w:val="18"/>
          <w:szCs w:val="18"/>
          <w:color w:val="auto"/>
        </w:rPr>
      </w:pPr>
    </w:p>
    <w:p>
      <w:pPr>
        <w:ind w:left="1100" w:right="80" w:hanging="435"/>
        <w:spacing w:after="0" w:line="262"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compliance with the Advertising Guidelines Applicable to Collective Investment Schemes Authorized under the Product Codes, the Guidelines on Disclosure of Fees and Charges Relating to Securities Services and other applicable codes, circulars and guidelines issued by the HK SFC.</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Securities and Futures (Financial Resources) Rules of Hong Kong</w:t>
      </w:r>
    </w:p>
    <w:p>
      <w:pPr>
        <w:spacing w:after="0" w:line="115" w:lineRule="exact"/>
        <w:rPr>
          <w:sz w:val="20"/>
          <w:szCs w:val="20"/>
          <w:color w:val="auto"/>
        </w:rPr>
      </w:pPr>
    </w:p>
    <w:p>
      <w:pPr>
        <w:ind w:left="240" w:right="120" w:firstLine="438"/>
        <w:spacing w:after="0" w:line="262" w:lineRule="auto"/>
        <w:rPr>
          <w:sz w:val="20"/>
          <w:szCs w:val="20"/>
          <w:color w:val="auto"/>
        </w:rPr>
      </w:pPr>
      <w:r>
        <w:rPr>
          <w:rFonts w:ascii="Arial" w:cs="Arial" w:eastAsia="Arial" w:hAnsi="Arial"/>
          <w:sz w:val="18"/>
          <w:szCs w:val="18"/>
          <w:color w:val="auto"/>
        </w:rPr>
        <w:t>Subject to certain exemptions specified under the FRR, a licensed corporation is required to maintain minimum paid-up share capital in accordance with the FRR. The following table sets out a summary of the key requirements on minimum paid-up share capital under the FRR which are applicable to Futu International Hong Kong:</w:t>
      </w:r>
    </w:p>
    <w:p>
      <w:pPr>
        <w:spacing w:after="0" w:line="187"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0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1"/>
              </w:rPr>
              <w:t>Regulated Activities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Minimum Amount of</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Paid-up Share</w:t>
            </w:r>
          </w:p>
        </w:tc>
        <w:tc>
          <w:tcPr>
            <w:tcW w:w="0" w:type="dxa"/>
            <w:vAlign w:val="bottom"/>
          </w:tcPr>
          <w:p>
            <w:pPr>
              <w:spacing w:after="0"/>
              <w:rPr>
                <w:sz w:val="1"/>
                <w:szCs w:val="1"/>
                <w:color w:val="auto"/>
              </w:rPr>
            </w:pPr>
          </w:p>
        </w:tc>
      </w:tr>
      <w:tr>
        <w:trPr>
          <w:trHeight w:val="194"/>
        </w:trPr>
        <w:tc>
          <w:tcPr>
            <w:tcW w:w="39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Futu International Hong Kong</w:t>
            </w:r>
          </w:p>
        </w:tc>
        <w:tc>
          <w:tcPr>
            <w:tcW w:w="23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1"/>
              </w:rPr>
              <w:t>A corporation licensed for Type</w:t>
            </w:r>
          </w:p>
        </w:tc>
        <w:tc>
          <w:tcPr>
            <w:tcW w:w="6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2"/>
              </w:rPr>
              <w:t>HK$10,000,000</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89"/>
              </w:rPr>
              <w:t>1, Type 2, Type 4, Type 5 and</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0"/>
              </w:rPr>
              <w:t>Type 9 regulated activities</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 addition, the FRR also requires a licensed corporation to maintain minimum liquid capital. The minimum liquid capital requirements under the</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FRR that are applicable Futu International Hong Kong are the higher of the amount of (a) and (b) below:</w:t>
      </w:r>
    </w:p>
    <w:p>
      <w:pPr>
        <w:spacing w:after="0" w:line="235"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18"/>
          <w:szCs w:val="18"/>
          <w:color w:val="auto"/>
        </w:rPr>
        <w:t>(a)</w:t>
        <w:tab/>
        <w:t>the amount of:</w:t>
      </w:r>
    </w:p>
    <w:p>
      <w:pPr>
        <w:spacing w:after="0" w:line="22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Minimum Amount of</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30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2"/>
              </w:rPr>
              <w:t>Regulated Activities</w:t>
            </w:r>
          </w:p>
        </w:tc>
        <w:tc>
          <w:tcPr>
            <w:tcW w:w="13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Required Liquid</w:t>
            </w:r>
          </w:p>
        </w:tc>
        <w:tc>
          <w:tcPr>
            <w:tcW w:w="0" w:type="dxa"/>
            <w:vAlign w:val="bottom"/>
          </w:tcPr>
          <w:p>
            <w:pPr>
              <w:spacing w:after="0"/>
              <w:rPr>
                <w:sz w:val="1"/>
                <w:szCs w:val="1"/>
                <w:color w:val="auto"/>
              </w:rPr>
            </w:pPr>
          </w:p>
        </w:tc>
      </w:tr>
      <w:tr>
        <w:trPr>
          <w:trHeight w:val="170"/>
        </w:trPr>
        <w:tc>
          <w:tcPr>
            <w:tcW w:w="3980" w:type="dxa"/>
            <w:vAlign w:val="bottom"/>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4"/>
        </w:trPr>
        <w:tc>
          <w:tcPr>
            <w:tcW w:w="39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Futu International Hong Kong</w:t>
            </w:r>
          </w:p>
        </w:tc>
        <w:tc>
          <w:tcPr>
            <w:tcW w:w="23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1"/>
              </w:rPr>
              <w:t>A corporation licensed for Type</w:t>
            </w:r>
          </w:p>
        </w:tc>
        <w:tc>
          <w:tcPr>
            <w:tcW w:w="6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8"/>
                <w:szCs w:val="18"/>
                <w:color w:val="auto"/>
                <w:w w:val="92"/>
              </w:rPr>
              <w:t>HK$3,000,000</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88"/>
              </w:rPr>
              <w:t>1, Type 2, Type 4, Type 5 and</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89"/>
              </w:rPr>
              <w:t>Type 9 regulated activities</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3980" w:type="dxa"/>
            <w:vAlign w:val="bottom"/>
          </w:tcPr>
          <w:p>
            <w:pPr>
              <w:spacing w:after="0"/>
              <w:rPr>
                <w:sz w:val="24"/>
                <w:szCs w:val="24"/>
                <w:color w:val="auto"/>
              </w:rPr>
            </w:pPr>
          </w:p>
        </w:tc>
        <w:tc>
          <w:tcPr>
            <w:tcW w:w="2360" w:type="dxa"/>
            <w:vAlign w:val="bottom"/>
          </w:tcPr>
          <w:p>
            <w:pPr>
              <w:jc w:val="right"/>
              <w:ind w:right="1974"/>
              <w:spacing w:after="0"/>
              <w:rPr>
                <w:sz w:val="20"/>
                <w:szCs w:val="20"/>
                <w:color w:val="auto"/>
              </w:rPr>
            </w:pPr>
            <w:r>
              <w:rPr>
                <w:rFonts w:ascii="Arial" w:cs="Arial" w:eastAsia="Arial" w:hAnsi="Arial"/>
                <w:sz w:val="18"/>
                <w:szCs w:val="18"/>
                <w:color w:val="auto"/>
                <w:w w:val="93"/>
              </w:rPr>
              <w:t>134</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7"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320" w:hanging="424"/>
        <w:spacing w:after="0" w:line="274"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the case of a corporation licensed for any regulated activities other than Type 3 regulated activities, its variable required liquid capital which means 5% of the aggregate of (i) its adjusted liabilities, (ii) the aggregate of the initial margin requirements in respect of outstanding futures contracts and outstanding options contracts held by it on behalf of its clients, and (iii) the aggregate of the amounts of margin required to be deposited in respect of outstanding futures contracts and outstanding options contracts held by it on behalf of its clients, to the extent that such contracts are not subject to the requirement of payment of initial margin requirements.</w:t>
      </w:r>
    </w:p>
    <w:p>
      <w:pPr>
        <w:spacing w:after="0" w:line="280"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8"/>
          <w:szCs w:val="18"/>
          <w:i w:val="1"/>
          <w:iCs w:val="1"/>
          <w:color w:val="auto"/>
        </w:rPr>
        <w:t>Use of proceeds to fulfill requirements under the Financial Resources Rules</w:t>
      </w:r>
    </w:p>
    <w:p>
      <w:pPr>
        <w:spacing w:after="0" w:line="115" w:lineRule="exact"/>
        <w:rPr>
          <w:sz w:val="20"/>
          <w:szCs w:val="20"/>
          <w:color w:val="auto"/>
        </w:rPr>
      </w:pPr>
    </w:p>
    <w:p>
      <w:pPr>
        <w:ind w:left="240" w:right="60" w:firstLine="438"/>
        <w:spacing w:after="0" w:line="284" w:lineRule="auto"/>
        <w:rPr>
          <w:sz w:val="20"/>
          <w:szCs w:val="20"/>
          <w:color w:val="auto"/>
        </w:rPr>
      </w:pPr>
      <w:r>
        <w:rPr>
          <w:rFonts w:ascii="Arial" w:cs="Arial" w:eastAsia="Arial" w:hAnsi="Arial"/>
          <w:sz w:val="17"/>
          <w:szCs w:val="17"/>
          <w:color w:val="auto"/>
        </w:rPr>
        <w:t>Futu Securities International (Hong Kong) Limited currently does not need to rely on any of the IPO proceeds to fulfill the requirements under the Financial Resources Rules. Nevertheless, Futu Securities International (Hong Kong) Limited may use part of the IPO proceeds for its future business development, and its liquidity position under the Financial Resources rules will be strengthened as a result.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Securities and Futures (Client Securities) Rules (Chapter 571H of the Laws of Hong Kong) (the “Client Securities Rules”)</w:t>
      </w:r>
    </w:p>
    <w:p>
      <w:pPr>
        <w:spacing w:after="0" w:line="223" w:lineRule="exact"/>
        <w:rPr>
          <w:sz w:val="20"/>
          <w:szCs w:val="20"/>
          <w:color w:val="auto"/>
        </w:rPr>
      </w:pPr>
    </w:p>
    <w:p>
      <w:pPr>
        <w:ind w:left="240" w:right="100" w:firstLine="438"/>
        <w:spacing w:after="0" w:line="277" w:lineRule="auto"/>
        <w:rPr>
          <w:sz w:val="20"/>
          <w:szCs w:val="20"/>
          <w:color w:val="auto"/>
        </w:rPr>
      </w:pPr>
      <w:r>
        <w:rPr>
          <w:rFonts w:ascii="Arial" w:cs="Arial" w:eastAsia="Arial" w:hAnsi="Arial"/>
          <w:sz w:val="17"/>
          <w:szCs w:val="17"/>
          <w:color w:val="auto"/>
        </w:rPr>
        <w:t>The repledging limit stipulated under section 8A of the Client Securities Rules applies to an intermediary which is licensed for dealing in securities and/or securities margin financing and where the intermediary or an associated entity of such intermediary repledges securities collateral of the intermediary. On each business day, the intermediary shall ascertain the aggregate market value of the repledged securities collateral, which shall be calculated by reference to the respective closing prices of the collateral on that business day.</w:t>
      </w:r>
    </w:p>
    <w:p>
      <w:pPr>
        <w:spacing w:after="0" w:line="172" w:lineRule="exact"/>
        <w:rPr>
          <w:sz w:val="20"/>
          <w:szCs w:val="20"/>
          <w:color w:val="auto"/>
        </w:rPr>
      </w:pPr>
    </w:p>
    <w:p>
      <w:pPr>
        <w:ind w:left="240" w:right="200" w:firstLine="438"/>
        <w:spacing w:after="0" w:line="254" w:lineRule="auto"/>
        <w:rPr>
          <w:sz w:val="20"/>
          <w:szCs w:val="20"/>
          <w:color w:val="auto"/>
        </w:rPr>
      </w:pPr>
      <w:r>
        <w:rPr>
          <w:rFonts w:ascii="Arial" w:cs="Arial" w:eastAsia="Arial" w:hAnsi="Arial"/>
          <w:sz w:val="18"/>
          <w:szCs w:val="18"/>
          <w:color w:val="auto"/>
        </w:rPr>
        <w:t>Pursuant to section 8A of the Client Securities Rules, if the aggregate market value of the repledged securities collateral as calculated above exceeds 140% of the intermediary’s aggregate margin loans on the same business day (the “Relevant Day”), the intermediary shall by the close of business on the next business day following the Relevant Day (the “Specified Time”) withdraw, or causes to be withdrawn, from deposit an amount of repledged securities collateral such that the aggregate market value of the repledged securities collateral at the Specified Time, which is calculated by reference to the respective closing prices on the Relevant Day, does not exceed 140% of the intermediary’s aggregate margin loans as of the close of business on the Relevant Day.</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and Clearing Participantship</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the date of this prospectus, Futu Securities International (Hong Kong) Limited was a participant of the following:</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Exchange / Clearing House</w:t>
            </w:r>
          </w:p>
        </w:tc>
        <w:tc>
          <w:tcPr>
            <w:tcW w:w="1840" w:type="dxa"/>
            <w:vAlign w:val="bottom"/>
          </w:tcPr>
          <w:p>
            <w:pPr>
              <w:spacing w:after="0"/>
              <w:rPr>
                <w:sz w:val="16"/>
                <w:szCs w:val="16"/>
                <w:color w:val="auto"/>
              </w:rPr>
            </w:pPr>
          </w:p>
        </w:tc>
        <w:tc>
          <w:tcPr>
            <w:tcW w:w="5160" w:type="dxa"/>
            <w:vAlign w:val="bottom"/>
          </w:tcPr>
          <w:p>
            <w:pPr>
              <w:ind w:left="1860"/>
              <w:spacing w:after="0"/>
              <w:rPr>
                <w:sz w:val="20"/>
                <w:szCs w:val="20"/>
                <w:color w:val="auto"/>
              </w:rPr>
            </w:pPr>
            <w:r>
              <w:rPr>
                <w:rFonts w:ascii="Arial" w:cs="Arial" w:eastAsia="Arial" w:hAnsi="Arial"/>
                <w:sz w:val="14"/>
                <w:szCs w:val="14"/>
                <w:b w:val="1"/>
                <w:bCs w:val="1"/>
                <w:color w:val="auto"/>
              </w:rPr>
              <w:t>Type of Participantship</w:t>
            </w:r>
          </w:p>
        </w:tc>
      </w:tr>
      <w:tr>
        <w:trPr>
          <w:trHeight w:val="187"/>
        </w:trPr>
        <w:tc>
          <w:tcPr>
            <w:tcW w:w="166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w w:val="98"/>
              </w:rPr>
              <w:t>The Stock Exchange</w:t>
            </w:r>
          </w:p>
        </w:tc>
        <w:tc>
          <w:tcPr>
            <w:tcW w:w="2300" w:type="dxa"/>
            <w:vAlign w:val="bottom"/>
          </w:tcPr>
          <w:p>
            <w:pPr>
              <w:spacing w:after="0" w:line="188" w:lineRule="exact"/>
              <w:rPr>
                <w:sz w:val="20"/>
                <w:szCs w:val="20"/>
                <w:color w:val="auto"/>
              </w:rPr>
            </w:pPr>
            <w:r>
              <w:rPr>
                <w:rFonts w:ascii="Arial" w:cs="Arial" w:eastAsia="Arial" w:hAnsi="Arial"/>
                <w:sz w:val="18"/>
                <w:szCs w:val="18"/>
                <w:color w:val="auto"/>
              </w:rPr>
              <w:t>(SEHK)</w:t>
            </w:r>
          </w:p>
        </w:tc>
        <w:tc>
          <w:tcPr>
            <w:tcW w:w="1840" w:type="dxa"/>
            <w:vAlign w:val="bottom"/>
          </w:tcPr>
          <w:p>
            <w:pPr>
              <w:spacing w:after="0"/>
              <w:rPr>
                <w:sz w:val="16"/>
                <w:szCs w:val="16"/>
                <w:color w:val="auto"/>
              </w:rPr>
            </w:pPr>
          </w:p>
        </w:tc>
        <w:tc>
          <w:tcPr>
            <w:tcW w:w="516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rPr>
              <w:t>Participant</w:t>
            </w:r>
          </w:p>
        </w:tc>
      </w:tr>
      <w:tr>
        <w:trPr>
          <w:trHeight w:val="229"/>
        </w:trPr>
        <w:tc>
          <w:tcPr>
            <w:tcW w:w="1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00" w:type="dxa"/>
            <w:vAlign w:val="bottom"/>
            <w:gridSpan w:val="2"/>
          </w:tcPr>
          <w:p>
            <w:pPr>
              <w:ind w:left="1840"/>
              <w:spacing w:after="0"/>
              <w:rPr>
                <w:sz w:val="20"/>
                <w:szCs w:val="20"/>
                <w:color w:val="auto"/>
              </w:rPr>
            </w:pPr>
            <w:r>
              <w:rPr>
                <w:rFonts w:ascii="Arial" w:cs="Arial" w:eastAsia="Arial" w:hAnsi="Arial"/>
                <w:sz w:val="18"/>
                <w:szCs w:val="18"/>
                <w:color w:val="auto"/>
              </w:rPr>
              <w:t>China Connect Exchange Participant</w:t>
            </w:r>
          </w:p>
        </w:tc>
      </w:tr>
      <w:tr>
        <w:trPr>
          <w:trHeight w:val="321"/>
        </w:trPr>
        <w:tc>
          <w:tcPr>
            <w:tcW w:w="3960" w:type="dxa"/>
            <w:vAlign w:val="bottom"/>
            <w:gridSpan w:val="2"/>
          </w:tcPr>
          <w:p>
            <w:pPr>
              <w:spacing w:after="0"/>
              <w:rPr>
                <w:sz w:val="20"/>
                <w:szCs w:val="20"/>
                <w:color w:val="auto"/>
              </w:rPr>
            </w:pPr>
            <w:r>
              <w:rPr>
                <w:rFonts w:ascii="Arial" w:cs="Arial" w:eastAsia="Arial" w:hAnsi="Arial"/>
                <w:sz w:val="18"/>
                <w:szCs w:val="18"/>
                <w:color w:val="auto"/>
              </w:rPr>
              <w:t>HKSCC</w:t>
            </w:r>
          </w:p>
        </w:tc>
        <w:tc>
          <w:tcPr>
            <w:tcW w:w="7000" w:type="dxa"/>
            <w:vAlign w:val="bottom"/>
            <w:gridSpan w:val="2"/>
          </w:tcPr>
          <w:p>
            <w:pPr>
              <w:ind w:left="1840"/>
              <w:spacing w:after="0"/>
              <w:rPr>
                <w:sz w:val="20"/>
                <w:szCs w:val="20"/>
                <w:color w:val="auto"/>
              </w:rPr>
            </w:pPr>
            <w:r>
              <w:rPr>
                <w:rFonts w:ascii="Arial" w:cs="Arial" w:eastAsia="Arial" w:hAnsi="Arial"/>
                <w:sz w:val="18"/>
                <w:szCs w:val="18"/>
                <w:color w:val="auto"/>
              </w:rPr>
              <w:t>Direct Clearing Participant</w:t>
            </w:r>
          </w:p>
        </w:tc>
      </w:tr>
      <w:tr>
        <w:trPr>
          <w:trHeight w:val="229"/>
        </w:trPr>
        <w:tc>
          <w:tcPr>
            <w:tcW w:w="1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00" w:type="dxa"/>
            <w:vAlign w:val="bottom"/>
            <w:gridSpan w:val="2"/>
          </w:tcPr>
          <w:p>
            <w:pPr>
              <w:ind w:left="1840"/>
              <w:spacing w:after="0"/>
              <w:rPr>
                <w:sz w:val="20"/>
                <w:szCs w:val="20"/>
                <w:color w:val="auto"/>
              </w:rPr>
            </w:pPr>
            <w:r>
              <w:rPr>
                <w:rFonts w:ascii="Arial" w:cs="Arial" w:eastAsia="Arial" w:hAnsi="Arial"/>
                <w:sz w:val="18"/>
                <w:szCs w:val="18"/>
                <w:color w:val="auto"/>
              </w:rPr>
              <w:t>China Connect Clearing Participant</w:t>
            </w:r>
          </w:p>
        </w:tc>
      </w:tr>
    </w:tbl>
    <w:p>
      <w:pPr>
        <w:spacing w:after="0" w:line="321"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Trading Rights</w:t>
      </w:r>
    </w:p>
    <w:p>
      <w:pPr>
        <w:spacing w:after="0" w:line="115" w:lineRule="exact"/>
        <w:rPr>
          <w:sz w:val="20"/>
          <w:szCs w:val="20"/>
          <w:color w:val="auto"/>
        </w:rPr>
      </w:pPr>
    </w:p>
    <w:p>
      <w:pPr>
        <w:ind w:left="240" w:right="20" w:firstLine="438"/>
        <w:spacing w:after="0" w:line="274" w:lineRule="auto"/>
        <w:rPr>
          <w:sz w:val="20"/>
          <w:szCs w:val="20"/>
          <w:color w:val="auto"/>
        </w:rPr>
      </w:pPr>
      <w:r>
        <w:rPr>
          <w:rFonts w:ascii="Arial" w:cs="Arial" w:eastAsia="Arial" w:hAnsi="Arial"/>
          <w:sz w:val="17"/>
          <w:szCs w:val="17"/>
          <w:color w:val="auto"/>
        </w:rPr>
        <w:t>In addition to the licensing requirements under the SFO, the rules promulgated by the Stock Exchange and the Futures Exchange require any person who wishes to trade on or through their respective facilities to hold a trading right, or Trading Right. The Trading Right confers on its holder the eligibility to trade on or through the relevant exchange. However, the holding of a Trading Right does not, of itself, permit the holder to actually trade on or through the relevant exchange. In order to do this, it is also necessary for the person to be registered as a participant of the relevant exchange in accordance with its rules, including those requiring compliance with all relevant legal and regulatory requirements.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7"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40" w:firstLine="438"/>
        <w:spacing w:after="0" w:line="284" w:lineRule="auto"/>
        <w:rPr>
          <w:sz w:val="20"/>
          <w:szCs w:val="20"/>
          <w:color w:val="auto"/>
        </w:rPr>
      </w:pPr>
      <w:r>
        <w:rPr>
          <w:rFonts w:ascii="Arial" w:cs="Arial" w:eastAsia="Arial" w:hAnsi="Arial"/>
          <w:sz w:val="17"/>
          <w:szCs w:val="17"/>
          <w:color w:val="auto"/>
        </w:rPr>
        <w:t>Stock Exchange Trading Rights and Futures Exchange Trading Rights are issued by the Stock Exchange and the Futures Exchange at a fee and in accordance with the procedures set out in their respective rules. Alternatively, Stock Exchange Trading Rights and Futures Exchange Trading Rights can be acquired from existing Trading Right holders subject to the rules of the respective exchanges.</w:t>
      </w: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Exchange Participantship</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table below sets out a summary of the requirements for becoming an exchange participant of the relevant exchange:</w:t>
      </w:r>
    </w:p>
    <w:p>
      <w:pPr>
        <w:spacing w:after="0" w:line="22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480" w:type="dxa"/>
            <w:vAlign w:val="bottom"/>
          </w:tcPr>
          <w:p>
            <w:pPr>
              <w:ind w:left="360"/>
              <w:spacing w:after="0"/>
              <w:rPr>
                <w:sz w:val="20"/>
                <w:szCs w:val="20"/>
                <w:color w:val="auto"/>
              </w:rPr>
            </w:pPr>
            <w:r>
              <w:rPr>
                <w:rFonts w:ascii="Arial" w:cs="Arial" w:eastAsia="Arial" w:hAnsi="Arial"/>
                <w:sz w:val="14"/>
                <w:szCs w:val="14"/>
                <w:b w:val="1"/>
                <w:bCs w:val="1"/>
                <w:color w:val="auto"/>
              </w:rPr>
              <w:t>Stock Exchange Participant / Stock Options</w:t>
            </w:r>
          </w:p>
        </w:tc>
        <w:tc>
          <w:tcPr>
            <w:tcW w:w="34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Futures Exchange Participant</w:t>
            </w:r>
          </w:p>
        </w:tc>
        <w:tc>
          <w:tcPr>
            <w:tcW w:w="0" w:type="dxa"/>
            <w:vAlign w:val="bottom"/>
          </w:tcPr>
          <w:p>
            <w:pPr>
              <w:spacing w:after="0"/>
              <w:rPr>
                <w:sz w:val="1"/>
                <w:szCs w:val="1"/>
                <w:color w:val="auto"/>
              </w:rPr>
            </w:pPr>
          </w:p>
        </w:tc>
      </w:tr>
      <w:tr>
        <w:trPr>
          <w:trHeight w:val="184"/>
        </w:trPr>
        <w:tc>
          <w:tcPr>
            <w:tcW w:w="4060" w:type="dxa"/>
            <w:vAlign w:val="bottom"/>
            <w:vMerge w:val="restart"/>
          </w:tcPr>
          <w:p>
            <w:pPr>
              <w:spacing w:after="0"/>
              <w:rPr>
                <w:sz w:val="20"/>
                <w:szCs w:val="20"/>
                <w:color w:val="auto"/>
              </w:rPr>
            </w:pPr>
            <w:r>
              <w:rPr>
                <w:rFonts w:ascii="Arial" w:cs="Arial" w:eastAsia="Arial" w:hAnsi="Arial"/>
                <w:sz w:val="18"/>
                <w:szCs w:val="18"/>
                <w:color w:val="auto"/>
              </w:rPr>
              <w:t>Legal Status</w:t>
            </w:r>
          </w:p>
        </w:tc>
        <w:tc>
          <w:tcPr>
            <w:tcW w:w="34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Exchange Participant</w:t>
            </w:r>
          </w:p>
        </w:tc>
        <w:tc>
          <w:tcPr>
            <w:tcW w:w="3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Being a company limited by shares incorporated in Hong Kong</w:t>
            </w:r>
          </w:p>
        </w:tc>
        <w:tc>
          <w:tcPr>
            <w:tcW w:w="0" w:type="dxa"/>
            <w:vAlign w:val="bottom"/>
          </w:tcPr>
          <w:p>
            <w:pPr>
              <w:spacing w:after="0"/>
              <w:rPr>
                <w:sz w:val="1"/>
                <w:szCs w:val="1"/>
                <w:color w:val="auto"/>
              </w:rPr>
            </w:pPr>
          </w:p>
        </w:tc>
      </w:tr>
      <w:tr>
        <w:trPr>
          <w:trHeight w:val="293"/>
        </w:trPr>
        <w:tc>
          <w:tcPr>
            <w:tcW w:w="4060" w:type="dxa"/>
            <w:vAlign w:val="bottom"/>
          </w:tcPr>
          <w:p>
            <w:pPr>
              <w:spacing w:after="0"/>
              <w:rPr>
                <w:sz w:val="20"/>
                <w:szCs w:val="20"/>
                <w:color w:val="auto"/>
              </w:rPr>
            </w:pPr>
            <w:r>
              <w:rPr>
                <w:rFonts w:ascii="Arial" w:cs="Arial" w:eastAsia="Arial" w:hAnsi="Arial"/>
                <w:sz w:val="18"/>
                <w:szCs w:val="18"/>
                <w:color w:val="auto"/>
              </w:rPr>
              <w:t>SFC Registration</w:t>
            </w:r>
          </w:p>
        </w:tc>
        <w:tc>
          <w:tcPr>
            <w:tcW w:w="3480" w:type="dxa"/>
            <w:vAlign w:val="bottom"/>
          </w:tcPr>
          <w:p>
            <w:pPr>
              <w:spacing w:after="0"/>
              <w:rPr>
                <w:sz w:val="20"/>
                <w:szCs w:val="20"/>
                <w:color w:val="auto"/>
              </w:rPr>
            </w:pPr>
            <w:r>
              <w:rPr>
                <w:rFonts w:ascii="Arial" w:cs="Arial" w:eastAsia="Arial" w:hAnsi="Arial"/>
                <w:sz w:val="18"/>
                <w:szCs w:val="18"/>
                <w:color w:val="auto"/>
                <w:w w:val="95"/>
              </w:rPr>
              <w:t>Being a licensed corporation qualified to carry</w:t>
            </w:r>
          </w:p>
        </w:tc>
        <w:tc>
          <w:tcPr>
            <w:tcW w:w="3420" w:type="dxa"/>
            <w:vAlign w:val="bottom"/>
          </w:tcPr>
          <w:p>
            <w:pPr>
              <w:ind w:left="140"/>
              <w:spacing w:after="0"/>
              <w:rPr>
                <w:sz w:val="20"/>
                <w:szCs w:val="20"/>
                <w:color w:val="auto"/>
              </w:rPr>
            </w:pPr>
            <w:r>
              <w:rPr>
                <w:rFonts w:ascii="Arial" w:cs="Arial" w:eastAsia="Arial" w:hAnsi="Arial"/>
                <w:sz w:val="18"/>
                <w:szCs w:val="18"/>
                <w:color w:val="auto"/>
              </w:rPr>
              <w:t>Being a licensed corporation qualified to</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9"/>
              </w:rPr>
              <w:t>out Type 1 regulated activity under the SFO</w:t>
            </w:r>
          </w:p>
        </w:tc>
        <w:tc>
          <w:tcPr>
            <w:tcW w:w="3420" w:type="dxa"/>
            <w:vAlign w:val="bottom"/>
          </w:tcPr>
          <w:p>
            <w:pPr>
              <w:ind w:left="140"/>
              <w:spacing w:after="0"/>
              <w:rPr>
                <w:sz w:val="20"/>
                <w:szCs w:val="20"/>
                <w:color w:val="auto"/>
              </w:rPr>
            </w:pPr>
            <w:r>
              <w:rPr>
                <w:rFonts w:ascii="Arial" w:cs="Arial" w:eastAsia="Arial" w:hAnsi="Arial"/>
                <w:sz w:val="18"/>
                <w:szCs w:val="18"/>
                <w:color w:val="auto"/>
                <w:w w:val="92"/>
              </w:rPr>
              <w:t>carry out Type 2 regulated activity under the</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SFO</w:t>
            </w:r>
          </w:p>
        </w:tc>
        <w:tc>
          <w:tcPr>
            <w:tcW w:w="0" w:type="dxa"/>
            <w:vAlign w:val="bottom"/>
          </w:tcPr>
          <w:p>
            <w:pPr>
              <w:spacing w:after="0"/>
              <w:rPr>
                <w:sz w:val="1"/>
                <w:szCs w:val="1"/>
                <w:color w:val="auto"/>
              </w:rPr>
            </w:pPr>
          </w:p>
        </w:tc>
      </w:tr>
      <w:tr>
        <w:trPr>
          <w:trHeight w:val="322"/>
        </w:trPr>
        <w:tc>
          <w:tcPr>
            <w:tcW w:w="4060" w:type="dxa"/>
            <w:vAlign w:val="bottom"/>
          </w:tcPr>
          <w:p>
            <w:pPr>
              <w:spacing w:after="0"/>
              <w:rPr>
                <w:sz w:val="20"/>
                <w:szCs w:val="20"/>
                <w:color w:val="auto"/>
              </w:rPr>
            </w:pPr>
            <w:r>
              <w:rPr>
                <w:rFonts w:ascii="Arial" w:cs="Arial" w:eastAsia="Arial" w:hAnsi="Arial"/>
                <w:sz w:val="18"/>
                <w:szCs w:val="18"/>
                <w:color w:val="auto"/>
              </w:rPr>
              <w:t>Trading Right</w:t>
            </w:r>
          </w:p>
        </w:tc>
        <w:tc>
          <w:tcPr>
            <w:tcW w:w="3480" w:type="dxa"/>
            <w:vAlign w:val="bottom"/>
          </w:tcPr>
          <w:p>
            <w:pPr>
              <w:spacing w:after="0"/>
              <w:rPr>
                <w:sz w:val="20"/>
                <w:szCs w:val="20"/>
                <w:color w:val="auto"/>
              </w:rPr>
            </w:pPr>
            <w:r>
              <w:rPr>
                <w:rFonts w:ascii="Arial" w:cs="Arial" w:eastAsia="Arial" w:hAnsi="Arial"/>
                <w:sz w:val="18"/>
                <w:szCs w:val="18"/>
                <w:color w:val="auto"/>
              </w:rPr>
              <w:t>Holding a Stock Exchange Trading Right</w:t>
            </w:r>
          </w:p>
        </w:tc>
        <w:tc>
          <w:tcPr>
            <w:tcW w:w="3420" w:type="dxa"/>
            <w:vAlign w:val="bottom"/>
          </w:tcPr>
          <w:p>
            <w:pPr>
              <w:ind w:left="140"/>
              <w:spacing w:after="0"/>
              <w:rPr>
                <w:sz w:val="20"/>
                <w:szCs w:val="20"/>
                <w:color w:val="auto"/>
              </w:rPr>
            </w:pPr>
            <w:r>
              <w:rPr>
                <w:rFonts w:ascii="Arial" w:cs="Arial" w:eastAsia="Arial" w:hAnsi="Arial"/>
                <w:sz w:val="18"/>
                <w:szCs w:val="18"/>
                <w:color w:val="auto"/>
                <w:w w:val="95"/>
              </w:rPr>
              <w:t>Holding a Futures Exchange Trading Right</w:t>
            </w:r>
          </w:p>
        </w:tc>
        <w:tc>
          <w:tcPr>
            <w:tcW w:w="0" w:type="dxa"/>
            <w:vAlign w:val="bottom"/>
          </w:tcPr>
          <w:p>
            <w:pPr>
              <w:spacing w:after="0"/>
              <w:rPr>
                <w:sz w:val="1"/>
                <w:szCs w:val="1"/>
                <w:color w:val="auto"/>
              </w:rPr>
            </w:pPr>
          </w:p>
        </w:tc>
      </w:tr>
      <w:tr>
        <w:trPr>
          <w:trHeight w:val="322"/>
        </w:trPr>
        <w:tc>
          <w:tcPr>
            <w:tcW w:w="4060" w:type="dxa"/>
            <w:vAlign w:val="bottom"/>
          </w:tcPr>
          <w:p>
            <w:pPr>
              <w:spacing w:after="0"/>
              <w:rPr>
                <w:sz w:val="20"/>
                <w:szCs w:val="20"/>
                <w:color w:val="auto"/>
              </w:rPr>
            </w:pPr>
            <w:r>
              <w:rPr>
                <w:rFonts w:ascii="Arial" w:cs="Arial" w:eastAsia="Arial" w:hAnsi="Arial"/>
                <w:sz w:val="18"/>
                <w:szCs w:val="18"/>
                <w:color w:val="auto"/>
              </w:rPr>
              <w:t>Financial Standing</w:t>
            </w:r>
          </w:p>
        </w:tc>
        <w:tc>
          <w:tcPr>
            <w:tcW w:w="3480" w:type="dxa"/>
            <w:vAlign w:val="bottom"/>
          </w:tcPr>
          <w:p>
            <w:pPr>
              <w:spacing w:after="0"/>
              <w:rPr>
                <w:sz w:val="20"/>
                <w:szCs w:val="20"/>
                <w:color w:val="auto"/>
              </w:rPr>
            </w:pPr>
            <w:r>
              <w:rPr>
                <w:rFonts w:ascii="Arial" w:cs="Arial" w:eastAsia="Arial" w:hAnsi="Arial"/>
                <w:sz w:val="18"/>
                <w:szCs w:val="18"/>
                <w:color w:val="auto"/>
                <w:w w:val="99"/>
              </w:rPr>
              <w:t>Having good financial standing and integrity</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060" w:type="dxa"/>
            <w:vAlign w:val="bottom"/>
          </w:tcPr>
          <w:p>
            <w:pPr>
              <w:spacing w:after="0"/>
              <w:rPr>
                <w:sz w:val="20"/>
                <w:szCs w:val="20"/>
                <w:color w:val="auto"/>
              </w:rPr>
            </w:pPr>
            <w:r>
              <w:rPr>
                <w:rFonts w:ascii="Arial" w:cs="Arial" w:eastAsia="Arial" w:hAnsi="Arial"/>
                <w:sz w:val="18"/>
                <w:szCs w:val="18"/>
                <w:color w:val="auto"/>
              </w:rPr>
              <w:t>Financial Resources Requirement</w:t>
            </w:r>
          </w:p>
        </w:tc>
        <w:tc>
          <w:tcPr>
            <w:tcW w:w="6900" w:type="dxa"/>
            <w:vAlign w:val="bottom"/>
            <w:gridSpan w:val="2"/>
          </w:tcPr>
          <w:p>
            <w:pPr>
              <w:spacing w:after="0"/>
              <w:rPr>
                <w:sz w:val="20"/>
                <w:szCs w:val="20"/>
                <w:color w:val="auto"/>
              </w:rPr>
            </w:pPr>
            <w:r>
              <w:rPr>
                <w:rFonts w:ascii="Arial" w:cs="Arial" w:eastAsia="Arial" w:hAnsi="Arial"/>
                <w:sz w:val="18"/>
                <w:szCs w:val="18"/>
                <w:color w:val="auto"/>
              </w:rPr>
              <w:t>Complying with the minimum capital requirement, liquid capital requirement and other</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financial resources requirements as specified by the FRR</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Clearing Participantship</w:t>
      </w:r>
    </w:p>
    <w:p>
      <w:pPr>
        <w:spacing w:after="0" w:line="115" w:lineRule="exact"/>
        <w:rPr>
          <w:sz w:val="20"/>
          <w:szCs w:val="20"/>
          <w:color w:val="auto"/>
        </w:rPr>
      </w:pPr>
    </w:p>
    <w:p>
      <w:pPr>
        <w:ind w:left="240" w:right="220" w:firstLine="438"/>
        <w:spacing w:after="0" w:line="275" w:lineRule="auto"/>
        <w:rPr>
          <w:sz w:val="20"/>
          <w:szCs w:val="20"/>
          <w:color w:val="auto"/>
        </w:rPr>
      </w:pPr>
      <w:r>
        <w:rPr>
          <w:rFonts w:ascii="Arial" w:cs="Arial" w:eastAsia="Arial" w:hAnsi="Arial"/>
          <w:sz w:val="18"/>
          <w:szCs w:val="18"/>
          <w:color w:val="auto"/>
        </w:rPr>
        <w:t>An entity must be an exchange participant of the relevant exchange before it can become a clearing participant of the following clearing houses, namely the HKSCC, HKCC and SEOCH.</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HKSCC</w:t>
      </w:r>
    </w:p>
    <w:p>
      <w:pPr>
        <w:spacing w:after="0" w:line="115" w:lineRule="exact"/>
        <w:rPr>
          <w:sz w:val="20"/>
          <w:szCs w:val="20"/>
          <w:color w:val="auto"/>
        </w:rPr>
      </w:pPr>
    </w:p>
    <w:p>
      <w:pPr>
        <w:ind w:left="240" w:right="280" w:firstLine="438"/>
        <w:spacing w:after="0" w:line="275" w:lineRule="auto"/>
        <w:rPr>
          <w:sz w:val="20"/>
          <w:szCs w:val="20"/>
          <w:color w:val="auto"/>
        </w:rPr>
      </w:pPr>
      <w:r>
        <w:rPr>
          <w:rFonts w:ascii="Arial" w:cs="Arial" w:eastAsia="Arial" w:hAnsi="Arial"/>
          <w:sz w:val="18"/>
          <w:szCs w:val="18"/>
          <w:color w:val="auto"/>
        </w:rPr>
        <w:t>HKSCC has, among others, two categories of participantship: (1) the Direct Clearing Participant; and (2) the General Clearing Participant. The requirements of Direct Clearing Participantship are as follows:</w:t>
      </w:r>
    </w:p>
    <w:p>
      <w:pPr>
        <w:spacing w:after="0" w:line="76" w:lineRule="exact"/>
        <w:rPr>
          <w:sz w:val="20"/>
          <w:szCs w:val="20"/>
          <w:color w:val="auto"/>
        </w:rPr>
      </w:pPr>
    </w:p>
    <w:p>
      <w:pPr>
        <w:ind w:left="1100" w:hanging="435"/>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be an Exchange Participant of the Stock Exchange;</w:t>
      </w:r>
    </w:p>
    <w:p>
      <w:pPr>
        <w:spacing w:after="0" w:line="128" w:lineRule="exact"/>
        <w:rPr>
          <w:rFonts w:ascii="Arial" w:cs="Arial" w:eastAsia="Arial" w:hAnsi="Arial"/>
          <w:sz w:val="18"/>
          <w:szCs w:val="18"/>
          <w:color w:val="auto"/>
        </w:rPr>
      </w:pPr>
    </w:p>
    <w:p>
      <w:pPr>
        <w:ind w:left="1100" w:right="220" w:hanging="435"/>
        <w:spacing w:after="0" w:line="257" w:lineRule="auto"/>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undertake to (i) sign a participant agreement with HKSCC; (ii) pay to HKSCC an admission fee of HK$50,000 in respect of each Stock Exchange Trading Right held by it; and (iii) pay to HKSCC its contribution to the Guarantee Fund of HKSCC as determined by HKSCC from time to time subject to a minimum cash contribution of the higher of HK$50,000 or HK$50,000 in respect of each Stock Exchange Trading Right held by it;</w:t>
      </w:r>
    </w:p>
    <w:p>
      <w:pPr>
        <w:spacing w:after="0" w:line="93" w:lineRule="exact"/>
        <w:rPr>
          <w:rFonts w:ascii="Arial" w:cs="Arial" w:eastAsia="Arial" w:hAnsi="Arial"/>
          <w:sz w:val="18"/>
          <w:szCs w:val="18"/>
          <w:color w:val="auto"/>
        </w:rPr>
      </w:pPr>
    </w:p>
    <w:p>
      <w:pPr>
        <w:jc w:val="both"/>
        <w:ind w:left="1100" w:right="120" w:hanging="435"/>
        <w:spacing w:after="0" w:line="262" w:lineRule="auto"/>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open and maintain a single current account with one of the CCASS designated banks and execute authorizations to enable the designated bank to accept electronic instructions from HKSCC to credit or debit the account for CCASS money settlement, including making payment to HKSCC;</w:t>
      </w:r>
    </w:p>
    <w:p>
      <w:pPr>
        <w:spacing w:after="0" w:line="87" w:lineRule="exact"/>
        <w:rPr>
          <w:rFonts w:ascii="Arial" w:cs="Arial" w:eastAsia="Arial" w:hAnsi="Arial"/>
          <w:sz w:val="18"/>
          <w:szCs w:val="18"/>
          <w:color w:val="auto"/>
        </w:rPr>
      </w:pPr>
    </w:p>
    <w:p>
      <w:pPr>
        <w:ind w:left="1100" w:right="560" w:hanging="435"/>
        <w:spacing w:after="0" w:line="275" w:lineRule="auto"/>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provide a form of insurance to HKSCC as security for liabilities arising from defective securities deposited by it into CCASS, if so required by HKSCC; and</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have a minimum liquid capital of HK$3,000,000.</w:t>
      </w:r>
    </w:p>
    <w:p>
      <w:pPr>
        <w:spacing w:after="0" w:line="33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China Connect Exchange Participant</w:t>
      </w:r>
    </w:p>
    <w:p>
      <w:pPr>
        <w:spacing w:after="0" w:line="115" w:lineRule="exact"/>
        <w:rPr>
          <w:sz w:val="20"/>
          <w:szCs w:val="20"/>
          <w:color w:val="auto"/>
        </w:rPr>
      </w:pPr>
    </w:p>
    <w:p>
      <w:pPr>
        <w:ind w:left="240" w:right="20" w:firstLine="438"/>
        <w:spacing w:after="0" w:line="275" w:lineRule="auto"/>
        <w:rPr>
          <w:sz w:val="20"/>
          <w:szCs w:val="20"/>
          <w:color w:val="auto"/>
        </w:rPr>
      </w:pPr>
      <w:r>
        <w:rPr>
          <w:rFonts w:ascii="Arial" w:cs="Arial" w:eastAsia="Arial" w:hAnsi="Arial"/>
          <w:sz w:val="18"/>
          <w:szCs w:val="18"/>
          <w:color w:val="auto"/>
        </w:rPr>
        <w:t>China Connect is open to all Exchange Participants, but Exchange Participants who wish to participate must satisfy certain eligibility requirements published on the Stock Exchange website at http://www.hkex.com.hk/mutualmarket.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57"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60" w:firstLine="438"/>
        <w:spacing w:after="0" w:line="257" w:lineRule="auto"/>
        <w:rPr>
          <w:sz w:val="20"/>
          <w:szCs w:val="20"/>
          <w:color w:val="auto"/>
        </w:rPr>
      </w:pPr>
      <w:r>
        <w:rPr>
          <w:rFonts w:ascii="Arial" w:cs="Arial" w:eastAsia="Arial" w:hAnsi="Arial"/>
          <w:sz w:val="18"/>
          <w:szCs w:val="18"/>
          <w:color w:val="auto"/>
        </w:rPr>
        <w:t>Only the following Exchange Participants shall be eligible to apply for registration and to remain registered as China Connect Exchange Participants: (1) Exchange Participants that are CCASS Clearing Participants, and (2) Exchange Participants that are not CCASS Clearing Participants but have entered into a valid, binding and effective CCASS Clearing Agreement with a CCASS GCP (capitalised terms of which are defined in the Rules of the Exchange).</w:t>
      </w:r>
    </w:p>
    <w:p>
      <w:pPr>
        <w:spacing w:after="0" w:line="188" w:lineRule="exact"/>
        <w:rPr>
          <w:sz w:val="20"/>
          <w:szCs w:val="20"/>
          <w:color w:val="auto"/>
        </w:rPr>
      </w:pPr>
    </w:p>
    <w:p>
      <w:pPr>
        <w:ind w:left="240" w:right="180" w:firstLine="438"/>
        <w:spacing w:after="0" w:line="262" w:lineRule="auto"/>
        <w:rPr>
          <w:sz w:val="20"/>
          <w:szCs w:val="20"/>
          <w:color w:val="auto"/>
        </w:rPr>
      </w:pPr>
      <w:r>
        <w:rPr>
          <w:rFonts w:ascii="Arial" w:cs="Arial" w:eastAsia="Arial" w:hAnsi="Arial"/>
          <w:sz w:val="18"/>
          <w:szCs w:val="18"/>
          <w:color w:val="auto"/>
        </w:rPr>
        <w:t>The Stock Exchange may publish the China Connect Exchange Participant Registration Criteria (as defined in the Rules of the Stock Exchange) and a list of the China Connect Exchange Participants registered from time to time on the website of the Stock Exchange or by other means that it considers appropriate.</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China Connect Clearing Participant</w:t>
      </w:r>
    </w:p>
    <w:p>
      <w:pPr>
        <w:spacing w:after="0" w:line="115" w:lineRule="exact"/>
        <w:rPr>
          <w:sz w:val="20"/>
          <w:szCs w:val="20"/>
          <w:color w:val="auto"/>
        </w:rPr>
      </w:pPr>
    </w:p>
    <w:p>
      <w:pPr>
        <w:ind w:left="240" w:right="60" w:firstLine="438"/>
        <w:spacing w:after="0" w:line="339" w:lineRule="auto"/>
        <w:rPr>
          <w:sz w:val="20"/>
          <w:szCs w:val="20"/>
          <w:color w:val="auto"/>
        </w:rPr>
      </w:pPr>
      <w:r>
        <w:rPr>
          <w:rFonts w:ascii="Arial" w:cs="Arial" w:eastAsia="Arial" w:hAnsi="Arial"/>
          <w:sz w:val="16"/>
          <w:szCs w:val="16"/>
          <w:color w:val="auto"/>
        </w:rPr>
        <w:t>Only China Connect Clearing Participants may use China Connect Clearing Services relating to the clearing and settlement of China Connect Securities Trades. The requirements for being accepted for registration and remaining registered as a China Connect Clearing Participant are as follows:</w:t>
      </w:r>
    </w:p>
    <w:p>
      <w:pPr>
        <w:spacing w:after="0" w:line="31" w:lineRule="exact"/>
        <w:rPr>
          <w:sz w:val="20"/>
          <w:szCs w:val="20"/>
          <w:color w:val="auto"/>
        </w:rPr>
      </w:pPr>
    </w:p>
    <w:p>
      <w:pPr>
        <w:ind w:left="1100" w:hanging="435"/>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be a Direct Clearing Participant or a General Clearing Participant;</w:t>
      </w:r>
    </w:p>
    <w:p>
      <w:pPr>
        <w:spacing w:after="0" w:line="128" w:lineRule="exact"/>
        <w:rPr>
          <w:rFonts w:ascii="Arial" w:cs="Arial" w:eastAsia="Arial" w:hAnsi="Arial"/>
          <w:sz w:val="18"/>
          <w:szCs w:val="18"/>
          <w:color w:val="auto"/>
        </w:rPr>
      </w:pPr>
    </w:p>
    <w:p>
      <w:pPr>
        <w:ind w:left="1100" w:right="400" w:hanging="435"/>
        <w:spacing w:after="0" w:line="305" w:lineRule="auto"/>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undertake to pay HKSCC such amount of Mainland Settlement Deposit, Mainland Security Deposit, Marks and Collateral as may be specified by HKSCC in accordance with the Operational Procedures of HKSCC in relation to CCASS; and</w:t>
      </w:r>
    </w:p>
    <w:p>
      <w:pPr>
        <w:spacing w:after="0" w:line="53" w:lineRule="exact"/>
        <w:rPr>
          <w:rFonts w:ascii="Arial" w:cs="Arial" w:eastAsia="Arial" w:hAnsi="Arial"/>
          <w:sz w:val="17"/>
          <w:szCs w:val="17"/>
          <w:color w:val="auto"/>
        </w:rPr>
      </w:pPr>
    </w:p>
    <w:p>
      <w:pPr>
        <w:ind w:left="1100" w:hanging="435"/>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meet all other relevant China Connect Clearing Participant Registration Criteria.</w:t>
      </w:r>
    </w:p>
    <w:p>
      <w:pPr>
        <w:spacing w:after="0" w:line="223" w:lineRule="exact"/>
        <w:rPr>
          <w:sz w:val="20"/>
          <w:szCs w:val="20"/>
          <w:color w:val="auto"/>
        </w:rPr>
      </w:pPr>
    </w:p>
    <w:p>
      <w:pPr>
        <w:ind w:left="240" w:right="220" w:firstLine="438"/>
        <w:spacing w:after="0" w:line="284" w:lineRule="auto"/>
        <w:rPr>
          <w:sz w:val="20"/>
          <w:szCs w:val="20"/>
          <w:color w:val="auto"/>
        </w:rPr>
      </w:pPr>
      <w:r>
        <w:rPr>
          <w:rFonts w:ascii="Arial" w:cs="Arial" w:eastAsia="Arial" w:hAnsi="Arial"/>
          <w:sz w:val="17"/>
          <w:szCs w:val="17"/>
          <w:color w:val="auto"/>
        </w:rPr>
        <w:t>HKSCC may from time to time prescribe additional eligibility criteria for participants to be accepted for registration and to remain registered as China Connect Clearing Participants. HKSCC may publish the China Connect Clearing Participant Registration Criteria and a list of China Connect Clearing Participants on the website of the Stock Exchange or by other means that it considers appropriate.</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Anti-Money Laundering and Counter-Terrorist Financing</w:t>
      </w:r>
    </w:p>
    <w:p>
      <w:pPr>
        <w:spacing w:after="0" w:line="115" w:lineRule="exact"/>
        <w:rPr>
          <w:sz w:val="20"/>
          <w:szCs w:val="20"/>
          <w:color w:val="auto"/>
        </w:rPr>
      </w:pPr>
    </w:p>
    <w:p>
      <w:pPr>
        <w:ind w:left="240" w:right="80" w:firstLine="438"/>
        <w:spacing w:after="0" w:line="262" w:lineRule="auto"/>
        <w:rPr>
          <w:sz w:val="20"/>
          <w:szCs w:val="20"/>
          <w:color w:val="auto"/>
        </w:rPr>
      </w:pPr>
      <w:r>
        <w:rPr>
          <w:rFonts w:ascii="Arial" w:cs="Arial" w:eastAsia="Arial" w:hAnsi="Arial"/>
          <w:sz w:val="18"/>
          <w:szCs w:val="18"/>
          <w:color w:val="auto"/>
        </w:rPr>
        <w:t>Licensed corporations are required to comply with the applicable anti-money laundering and counterterrorist financing laws and regulations in Hong Kong as well as the AMLCTF Guideline and the Prevention of Money Laundering and Terrorist Financing Guideline issued by the Securities and Futures Commission for Associated Entities published by the HK SFC.</w:t>
      </w:r>
    </w:p>
    <w:p>
      <w:pPr>
        <w:spacing w:after="0" w:line="181" w:lineRule="exact"/>
        <w:rPr>
          <w:sz w:val="20"/>
          <w:szCs w:val="20"/>
          <w:color w:val="auto"/>
        </w:rPr>
      </w:pPr>
    </w:p>
    <w:p>
      <w:pPr>
        <w:ind w:left="240" w:right="540" w:firstLine="438"/>
        <w:spacing w:after="0" w:line="262" w:lineRule="auto"/>
        <w:rPr>
          <w:sz w:val="20"/>
          <w:szCs w:val="20"/>
          <w:color w:val="auto"/>
        </w:rPr>
      </w:pPr>
      <w:r>
        <w:rPr>
          <w:rFonts w:ascii="Arial" w:cs="Arial" w:eastAsia="Arial" w:hAnsi="Arial"/>
          <w:sz w:val="18"/>
          <w:szCs w:val="18"/>
          <w:color w:val="auto"/>
        </w:rPr>
        <w:t>The AMLCTF Guideline provides practical guidance to assist licensed corporations and their senior management in formulating and implementing their own policies, procedures and controls in order to meet applicable legal and regulatory requirements in Hong Kong. Under the AMLCTF Guideline, licensed corporations should, among other things:</w:t>
      </w:r>
    </w:p>
    <w:p>
      <w:pPr>
        <w:spacing w:after="0" w:line="87" w:lineRule="exact"/>
        <w:rPr>
          <w:sz w:val="20"/>
          <w:szCs w:val="20"/>
          <w:color w:val="auto"/>
        </w:rPr>
      </w:pPr>
    </w:p>
    <w:p>
      <w:pPr>
        <w:ind w:left="1100" w:hanging="435"/>
        <w:spacing w:after="0" w:line="275"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assess the risks of any new products and services before they are introduced and ensure that appropriate additional measures and controls are implemented to mitigate and manage the risks associated with money laundering and terrorist financing;</w:t>
      </w:r>
    </w:p>
    <w:p>
      <w:pPr>
        <w:spacing w:after="0" w:line="76" w:lineRule="exact"/>
        <w:rPr>
          <w:rFonts w:ascii="Arial" w:cs="Arial" w:eastAsia="Arial" w:hAnsi="Arial"/>
          <w:sz w:val="18"/>
          <w:szCs w:val="18"/>
          <w:color w:val="auto"/>
        </w:rPr>
      </w:pPr>
    </w:p>
    <w:p>
      <w:pPr>
        <w:ind w:left="1100" w:right="100" w:hanging="435"/>
        <w:spacing w:after="0" w:line="262"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consider the delivery and distribution channels (which may include sales through online, postal or telephone channels where a non-face-to-face account opening approach is used and business sold through intermediaries) and the extent to which they are vulnerable to abuse for money laundering and terrorist financing;</w:t>
      </w:r>
    </w:p>
    <w:p>
      <w:pPr>
        <w:spacing w:after="0" w:line="87" w:lineRule="exact"/>
        <w:rPr>
          <w:rFonts w:ascii="Arial" w:cs="Arial" w:eastAsia="Arial" w:hAnsi="Arial"/>
          <w:sz w:val="18"/>
          <w:szCs w:val="18"/>
          <w:color w:val="auto"/>
        </w:rPr>
      </w:pPr>
    </w:p>
    <w:p>
      <w:pPr>
        <w:ind w:left="1100" w:right="100" w:hanging="435"/>
        <w:spacing w:after="0" w:line="305" w:lineRule="auto"/>
        <w:tabs>
          <w:tab w:leader="none" w:pos="1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identify the client and verify the client’s identity by reference to any documents, information or data from reliable and independent sources, and take steps from time to time to ensure that the client information obtained is up-to-date and relevant;</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80"/>
          </w:cols>
          <w:pgMar w:left="240" w:top="457"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100" w:right="340" w:hanging="435"/>
        <w:spacing w:after="0" w:line="284" w:lineRule="auto"/>
        <w:tabs>
          <w:tab w:leader="none" w:pos="11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conduct on-going monitoring of activities of the clients to ensure that they are consistent with the nature of business, the risk profile and source of funds, as well as identify transactions that are complex, large or unusual, or patterns of transactions that have no apparent economic or lawful purpose and which may indicate money laundering and terrorist financing;</w:t>
      </w:r>
    </w:p>
    <w:p>
      <w:pPr>
        <w:spacing w:after="0" w:line="71" w:lineRule="exact"/>
        <w:rPr>
          <w:rFonts w:ascii="Arial" w:cs="Arial" w:eastAsia="Arial" w:hAnsi="Arial"/>
          <w:sz w:val="17"/>
          <w:szCs w:val="17"/>
          <w:color w:val="auto"/>
        </w:rPr>
      </w:pPr>
    </w:p>
    <w:p>
      <w:pPr>
        <w:ind w:left="1100" w:right="260" w:hanging="435"/>
        <w:spacing w:after="0" w:line="339" w:lineRule="auto"/>
        <w:tabs>
          <w:tab w:leader="none" w:pos="11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maintain a database of names and particulars of terrorist suspects and designated parties which consolidates the information from various lists that have been made known to them, as well as conduct comprehensive on-going screening of the client database; and</w:t>
      </w:r>
    </w:p>
    <w:p>
      <w:pPr>
        <w:spacing w:after="0" w:line="30" w:lineRule="exact"/>
        <w:rPr>
          <w:rFonts w:ascii="Arial" w:cs="Arial" w:eastAsia="Arial" w:hAnsi="Arial"/>
          <w:sz w:val="16"/>
          <w:szCs w:val="16"/>
          <w:color w:val="auto"/>
        </w:rPr>
      </w:pPr>
    </w:p>
    <w:p>
      <w:pPr>
        <w:ind w:left="1100" w:hanging="435"/>
        <w:spacing w:after="0" w:line="257" w:lineRule="auto"/>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conduct on-going monitoring for identification of suspicious transactions and ensure compliance with their legal obligations of reporting funds or property known or suspected to be proceeds of crime or terrorist property to the Joint Financial Intelligence Unit, a unit jointly run by the Hong Kong Police Force and the Hong Kong Customs &amp; Excise Department to monitor and investigate suspicious financial or money laundering activities.</w:t>
      </w:r>
    </w:p>
    <w:p>
      <w:pPr>
        <w:spacing w:after="0" w:line="188" w:lineRule="exact"/>
        <w:rPr>
          <w:sz w:val="20"/>
          <w:szCs w:val="20"/>
          <w:color w:val="auto"/>
        </w:rPr>
      </w:pPr>
    </w:p>
    <w:p>
      <w:pPr>
        <w:ind w:left="240" w:right="260" w:firstLine="438"/>
        <w:spacing w:after="0" w:line="275" w:lineRule="auto"/>
        <w:rPr>
          <w:sz w:val="20"/>
          <w:szCs w:val="20"/>
          <w:color w:val="auto"/>
        </w:rPr>
      </w:pPr>
      <w:r>
        <w:rPr>
          <w:rFonts w:ascii="Arial" w:cs="Arial" w:eastAsia="Arial" w:hAnsi="Arial"/>
          <w:sz w:val="18"/>
          <w:szCs w:val="18"/>
          <w:color w:val="auto"/>
        </w:rPr>
        <w:t>We set out below a brief summary of the principal legislation in Hong Kong that is concerned with anti-money laundering and counter-terrorist financing.</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Anti-Money Laundering and Counter-Terrorist Financing (Financial Institutions) Ordinance (Chapter 615 of the Laws of Hong Kong) (“AMLO”)</w:t>
      </w:r>
    </w:p>
    <w:p>
      <w:pPr>
        <w:spacing w:after="0" w:line="246" w:lineRule="exact"/>
        <w:rPr>
          <w:sz w:val="20"/>
          <w:szCs w:val="20"/>
          <w:color w:val="auto"/>
        </w:rPr>
      </w:pPr>
    </w:p>
    <w:p>
      <w:pPr>
        <w:ind w:left="240" w:right="140" w:firstLine="438"/>
        <w:spacing w:after="0" w:line="300" w:lineRule="auto"/>
        <w:rPr>
          <w:sz w:val="20"/>
          <w:szCs w:val="20"/>
          <w:color w:val="auto"/>
        </w:rPr>
      </w:pPr>
      <w:r>
        <w:rPr>
          <w:rFonts w:ascii="Arial" w:cs="Arial" w:eastAsia="Arial" w:hAnsi="Arial"/>
          <w:sz w:val="16"/>
          <w:szCs w:val="16"/>
          <w:color w:val="auto"/>
        </w:rPr>
        <w:t>Among other things, the AMLO imposes on financial institutions (which include licensed corporations as defined under the SFO) certain requirements relating to customer due diligence and record-keeping. The AMLO empowers the relevant regulatory authorities to supervise compliance with the requirements under the AMLO. In addition, a financial institution must take all reasonable measures to (1) ensure that proper safeguards exist to prevent contravention of specific provisions in the AMLO, and (2) mitigate money laundering and terrorist financing risks.</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Drug Trafficking (Recovery of Proceeds) Ordinance (Chapter 405 of the Laws of Hong Kong) (“DTROP”)</w:t>
      </w:r>
    </w:p>
    <w:p>
      <w:pPr>
        <w:spacing w:after="0" w:line="223" w:lineRule="exact"/>
        <w:rPr>
          <w:sz w:val="20"/>
          <w:szCs w:val="20"/>
          <w:color w:val="auto"/>
        </w:rPr>
      </w:pPr>
    </w:p>
    <w:p>
      <w:pPr>
        <w:ind w:left="240" w:right="60" w:firstLine="438"/>
        <w:spacing w:after="0" w:line="254" w:lineRule="auto"/>
        <w:rPr>
          <w:sz w:val="20"/>
          <w:szCs w:val="20"/>
          <w:color w:val="auto"/>
        </w:rPr>
      </w:pPr>
      <w:r>
        <w:rPr>
          <w:rFonts w:ascii="Arial" w:cs="Arial" w:eastAsia="Arial" w:hAnsi="Arial"/>
          <w:sz w:val="18"/>
          <w:szCs w:val="18"/>
          <w:color w:val="auto"/>
        </w:rPr>
        <w:t>Among other things, the DTROP contains provisions for the investigation of assets suspected to be derived from drug trafficking activities, the freezing of assets on arrest and the confiscation of the proceeds from drug trafficking activities by the competent authorities. It is an offense under the DTROP for a person to deal with any property knowing or having reasonable grounds to believe it to represent the proceeds from drug trafficking. The DTROP requires a person to report to an authorised officer if he/she knows or suspects that any property (in whole or in part directly or indirectly) represents the proceeds of drug trafficking or is intended to be used or was used in connection with drug trafficking, and failure to make such disclosure constitutes an offense under the DTROP.</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Organised and Serious Crimes Ordinance (Chapter 455 of the Laws of Hong Kong) (“OSCO”)</w:t>
      </w:r>
    </w:p>
    <w:p>
      <w:pPr>
        <w:spacing w:after="0" w:line="223" w:lineRule="exact"/>
        <w:rPr>
          <w:sz w:val="20"/>
          <w:szCs w:val="20"/>
          <w:color w:val="auto"/>
        </w:rPr>
      </w:pPr>
    </w:p>
    <w:p>
      <w:pPr>
        <w:ind w:left="240" w:right="120" w:firstLine="438"/>
        <w:spacing w:after="0" w:line="277" w:lineRule="auto"/>
        <w:rPr>
          <w:sz w:val="20"/>
          <w:szCs w:val="20"/>
          <w:color w:val="auto"/>
        </w:rPr>
      </w:pPr>
      <w:r>
        <w:rPr>
          <w:rFonts w:ascii="Arial" w:cs="Arial" w:eastAsia="Arial" w:hAnsi="Arial"/>
          <w:sz w:val="17"/>
          <w:szCs w:val="17"/>
          <w:color w:val="auto"/>
        </w:rPr>
        <w:t>Among other things, the OSCO empowers officers of the Hong Kong Police Force and the Hong Kong Customs &amp; Excise Department to investigate organised crime and triad activities, and confers jurisdiction on the Hong Kong courts to confiscate the proceeds of organised and serious crimes, to issue restraint orders and charging orders in relation to the property of defendants of specified offenses under the OSCO. The OSCO extends the money laundering offense to cover the proceeds from all indictable offenses in addition to drug trafficking.</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United Nations (Anti-terrorism Measures) Ordinance (Chapter 575 of the Laws of Hong Kong) (“UNATMO”)</w:t>
      </w:r>
    </w:p>
    <w:p>
      <w:pPr>
        <w:spacing w:after="0" w:line="223" w:lineRule="exact"/>
        <w:rPr>
          <w:sz w:val="20"/>
          <w:szCs w:val="20"/>
          <w:color w:val="auto"/>
        </w:rPr>
      </w:pPr>
    </w:p>
    <w:p>
      <w:pPr>
        <w:ind w:left="240" w:right="120" w:firstLine="438"/>
        <w:spacing w:after="0" w:line="275" w:lineRule="auto"/>
        <w:rPr>
          <w:sz w:val="20"/>
          <w:szCs w:val="20"/>
          <w:color w:val="auto"/>
        </w:rPr>
      </w:pPr>
      <w:r>
        <w:rPr>
          <w:rFonts w:ascii="Arial" w:cs="Arial" w:eastAsia="Arial" w:hAnsi="Arial"/>
          <w:sz w:val="18"/>
          <w:szCs w:val="18"/>
          <w:color w:val="auto"/>
        </w:rPr>
        <w:t>Among other things, the UNATMO stipulates that it is a criminal offense to: (1) provide or collect property (by any means, directly or indirectly) with the intention or knowledge that the property will be used to commit, in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240" w:top="457"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74" w:lineRule="auto"/>
        <w:rPr>
          <w:sz w:val="20"/>
          <w:szCs w:val="20"/>
          <w:color w:val="auto"/>
        </w:rPr>
      </w:pPr>
      <w:r>
        <w:rPr>
          <w:rFonts w:ascii="Arial" w:cs="Arial" w:eastAsia="Arial" w:hAnsi="Arial"/>
          <w:sz w:val="17"/>
          <w:szCs w:val="17"/>
          <w:color w:val="auto"/>
        </w:rPr>
        <w:t>whole or in part, one or more terrorist acts; or (2) make any property or financial (or related) services available, by any means, directly or indirectly, to or for the benefit of a person knowing that, or being reckless as to whether, such person is a terrorist or terrorist associate, or collect property or solicit financial (or related) services, by any means, directly or indirectly, for the benefit of a person knowing that, or being reckless as to whether, the person is a terrorist or terrorist associate. The UNATMO also requires a person to disclose his knowledge or suspicion of terrorist property to an authorised officer, and failure to make such disclosure constitutes an offense under the UNATMO.</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Personal Data (Privacy) Ordinance (Chapter 486 of the Laws of Hong Kong) (“PDPO”)</w:t>
      </w:r>
    </w:p>
    <w:p>
      <w:pPr>
        <w:spacing w:after="0" w:line="115" w:lineRule="exact"/>
        <w:rPr>
          <w:sz w:val="20"/>
          <w:szCs w:val="20"/>
          <w:color w:val="auto"/>
        </w:rPr>
      </w:pPr>
    </w:p>
    <w:p>
      <w:pPr>
        <w:ind w:left="240" w:right="40" w:firstLine="438"/>
        <w:spacing w:after="0" w:line="309" w:lineRule="auto"/>
        <w:rPr>
          <w:sz w:val="20"/>
          <w:szCs w:val="20"/>
          <w:color w:val="auto"/>
        </w:rPr>
      </w:pPr>
      <w:r>
        <w:rPr>
          <w:rFonts w:ascii="Arial" w:cs="Arial" w:eastAsia="Arial" w:hAnsi="Arial"/>
          <w:sz w:val="16"/>
          <w:szCs w:val="16"/>
          <w:color w:val="auto"/>
        </w:rPr>
        <w:t>The PDPO imposes a statutory duty on data users to comply with the requirements of the six data protection principles (the “Data Protection Principles”) contained in Schedule 1 to the PDPO. The PDPO provides that a data user shall not do an act, or engage in a practice, that contravenes a Data Protection Principle unless the act or practice, as the case may be, is required or permitted under the PDPO. The six Data Protection Principles are:</w:t>
      </w:r>
    </w:p>
    <w:p>
      <w:pPr>
        <w:spacing w:after="0" w:line="55" w:lineRule="exact"/>
        <w:rPr>
          <w:sz w:val="20"/>
          <w:szCs w:val="20"/>
          <w:color w:val="auto"/>
        </w:rPr>
      </w:pPr>
    </w:p>
    <w:p>
      <w:pPr>
        <w:ind w:left="1100" w:hanging="435"/>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Principle 1 — purpose and manner of collection of personal data;</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Principle 2 — accuracy and duration of retention of personal data;</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Principle 3 — use of personal data;</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Principle 4 — security of personal data;</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Principle 5 — information to be generally available; and</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Principle 6 — access to personal data.</w:t>
      </w:r>
    </w:p>
    <w:p>
      <w:pPr>
        <w:spacing w:after="0" w:line="223" w:lineRule="exact"/>
        <w:rPr>
          <w:sz w:val="20"/>
          <w:szCs w:val="20"/>
          <w:color w:val="auto"/>
        </w:rPr>
      </w:pPr>
    </w:p>
    <w:p>
      <w:pPr>
        <w:ind w:left="240" w:right="440" w:firstLine="438"/>
        <w:spacing w:after="0" w:line="309" w:lineRule="auto"/>
        <w:rPr>
          <w:sz w:val="20"/>
          <w:szCs w:val="20"/>
          <w:color w:val="auto"/>
        </w:rPr>
      </w:pPr>
      <w:r>
        <w:rPr>
          <w:rFonts w:ascii="Arial" w:cs="Arial" w:eastAsia="Arial" w:hAnsi="Arial"/>
          <w:sz w:val="16"/>
          <w:szCs w:val="16"/>
          <w:color w:val="auto"/>
        </w:rPr>
        <w:t>Non-compliance with a Data Protection Principle may lead to a complaint to the Privacy Commissioner for Personal Data (the “Privacy Commissioner”). The Privacy Commissioner may serve an enforcement notice to direct the data user to remedy the contravention and/ or instigate prosecution actions. A data user who contravenes an enforcement notice commits an offense which may lead to a fine and imprisonment.</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The PDPO also gives data subjects certain rights,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129" w:lineRule="exact"/>
        <w:rPr>
          <w:sz w:val="20"/>
          <w:szCs w:val="20"/>
          <w:color w:val="auto"/>
        </w:rPr>
      </w:pPr>
    </w:p>
    <w:p>
      <w:pPr>
        <w:ind w:left="1100" w:hanging="435"/>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right to be informed by a data user whether the data user holds personal data of which the individual is the data subject;</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data user holds such data, to be supplied with a copy of such data; and</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right to request correction of any data they consider to be inaccurate.</w:t>
      </w:r>
    </w:p>
    <w:p>
      <w:pPr>
        <w:spacing w:after="0" w:line="223" w:lineRule="exact"/>
        <w:rPr>
          <w:sz w:val="20"/>
          <w:szCs w:val="20"/>
          <w:color w:val="auto"/>
        </w:rPr>
      </w:pPr>
    </w:p>
    <w:p>
      <w:pPr>
        <w:ind w:left="240" w:right="320" w:firstLine="438"/>
        <w:spacing w:after="0" w:line="257" w:lineRule="auto"/>
        <w:rPr>
          <w:sz w:val="20"/>
          <w:szCs w:val="20"/>
          <w:color w:val="auto"/>
        </w:rPr>
      </w:pPr>
      <w:r>
        <w:rPr>
          <w:rFonts w:ascii="Arial" w:cs="Arial" w:eastAsia="Arial" w:hAnsi="Arial"/>
          <w:sz w:val="18"/>
          <w:szCs w:val="18"/>
          <w:color w:val="auto"/>
        </w:rPr>
        <w:t>The PDPO criminalises, including but not limited to, the misuse or inappropriate use of personal data in direct marketing activities, non-compliance with a data access request and the unauthorised disclosure of personal data obtained without the relevant data user’s consent. An individual who suffers damage, including injured feelings, by reason of a contravention of the PDPO in relation to his or her personal data may seek compensation from the data user concerned.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Money Lenders Ordinance</w:t>
      </w:r>
    </w:p>
    <w:p>
      <w:pPr>
        <w:spacing w:after="0" w:line="115" w:lineRule="exact"/>
        <w:rPr>
          <w:sz w:val="20"/>
          <w:szCs w:val="20"/>
          <w:color w:val="auto"/>
        </w:rPr>
      </w:pPr>
    </w:p>
    <w:p>
      <w:pPr>
        <w:ind w:left="240" w:right="40" w:firstLine="438"/>
        <w:spacing w:after="0" w:line="262" w:lineRule="auto"/>
        <w:rPr>
          <w:sz w:val="20"/>
          <w:szCs w:val="20"/>
          <w:color w:val="auto"/>
        </w:rPr>
      </w:pPr>
      <w:r>
        <w:rPr>
          <w:rFonts w:ascii="Arial" w:cs="Arial" w:eastAsia="Arial" w:hAnsi="Arial"/>
          <w:sz w:val="18"/>
          <w:szCs w:val="18"/>
          <w:color w:val="auto"/>
        </w:rPr>
        <w:t>Money lenders and money-lending transactions in Hong Kong are regulated by the Money Lenders Ordinance. In general, any person who carries on business as a money lender must apply for and maintain a money lenders license (valid for 12 months) granted by the licensing court under the Money Lenders Ordinance, unless any exemption under the Money Lenders Ordinance applies.</w:t>
      </w:r>
    </w:p>
    <w:p>
      <w:pPr>
        <w:spacing w:after="0" w:line="181" w:lineRule="exact"/>
        <w:rPr>
          <w:sz w:val="20"/>
          <w:szCs w:val="20"/>
          <w:color w:val="auto"/>
        </w:rPr>
      </w:pPr>
    </w:p>
    <w:p>
      <w:pPr>
        <w:ind w:left="240" w:right="80" w:firstLine="438"/>
        <w:spacing w:after="0" w:line="275" w:lineRule="auto"/>
        <w:rPr>
          <w:sz w:val="20"/>
          <w:szCs w:val="20"/>
          <w:color w:val="auto"/>
        </w:rPr>
      </w:pPr>
      <w:r>
        <w:rPr>
          <w:rFonts w:ascii="Arial" w:cs="Arial" w:eastAsia="Arial" w:hAnsi="Arial"/>
          <w:sz w:val="18"/>
          <w:szCs w:val="18"/>
          <w:color w:val="auto"/>
        </w:rPr>
        <w:t>An application for or renewal of this license is subject to any objection by the Registrar of Money Lenders (the role is presently performed by the Registrar of Companies) and the Commissioner of Police.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60"/>
          </w:cols>
          <w:pgMar w:left="240" w:top="458"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360"/>
        <w:spacing w:after="0" w:line="339" w:lineRule="auto"/>
        <w:rPr>
          <w:sz w:val="20"/>
          <w:szCs w:val="20"/>
          <w:color w:val="auto"/>
        </w:rPr>
      </w:pPr>
      <w:r>
        <w:rPr>
          <w:rFonts w:ascii="Arial" w:cs="Arial" w:eastAsia="Arial" w:hAnsi="Arial"/>
          <w:sz w:val="16"/>
          <w:szCs w:val="16"/>
          <w:color w:val="auto"/>
        </w:rPr>
        <w:t>Commissioner of Police is responsible for enforcing the Money Lenders Ordinance, including carrying out examinations on applications for money lenders licenses, renewal of licenses and endorsements on licenses, and is responsible for investigations of complaints against money lenders.</w:t>
      </w:r>
    </w:p>
    <w:p>
      <w:pPr>
        <w:spacing w:after="0" w:line="125" w:lineRule="exact"/>
        <w:rPr>
          <w:sz w:val="20"/>
          <w:szCs w:val="20"/>
          <w:color w:val="auto"/>
        </w:rPr>
      </w:pPr>
    </w:p>
    <w:p>
      <w:pPr>
        <w:ind w:left="240" w:right="40" w:firstLine="438"/>
        <w:spacing w:after="0" w:line="274" w:lineRule="auto"/>
        <w:rPr>
          <w:sz w:val="20"/>
          <w:szCs w:val="20"/>
          <w:color w:val="auto"/>
        </w:rPr>
      </w:pPr>
      <w:r>
        <w:rPr>
          <w:rFonts w:ascii="Arial" w:cs="Arial" w:eastAsia="Arial" w:hAnsi="Arial"/>
          <w:sz w:val="17"/>
          <w:szCs w:val="17"/>
          <w:color w:val="auto"/>
        </w:rPr>
        <w:t>The register of licensed money lenders is currently kept in the Companies Registry of Hong Kong and is available for inspection. The Money Lenders Ordinance provides for protection and relief against excessive interest rates and extortionate stipulations in respect of loans by, for example, making it an offense for a person to lend money at an effective interest rate exceeding 60% per annum or extortionate provisions. It also stipulates various mandatory documentary and procedural requirements that are required to be observed by a money lender in order to enforce in the courts of law a lending agreement or security being the subject of the Money Lenders Ordinance.</w:t>
      </w:r>
    </w:p>
    <w:p>
      <w:pPr>
        <w:spacing w:after="0" w:line="173" w:lineRule="exact"/>
        <w:rPr>
          <w:sz w:val="20"/>
          <w:szCs w:val="20"/>
          <w:color w:val="auto"/>
        </w:rPr>
      </w:pPr>
    </w:p>
    <w:p>
      <w:pPr>
        <w:ind w:left="240" w:right="40" w:firstLine="438"/>
        <w:spacing w:after="0" w:line="274" w:lineRule="auto"/>
        <w:rPr>
          <w:sz w:val="20"/>
          <w:szCs w:val="20"/>
          <w:color w:val="auto"/>
        </w:rPr>
      </w:pPr>
      <w:r>
        <w:rPr>
          <w:rFonts w:ascii="Arial" w:cs="Arial" w:eastAsia="Arial" w:hAnsi="Arial"/>
          <w:sz w:val="17"/>
          <w:szCs w:val="17"/>
          <w:color w:val="auto"/>
        </w:rPr>
        <w:t>Recently, the Companies Registry of Hong Kong has introduced more stringent licensing conditions on all money lenders licenses, with an aim to facilitate effective enforcement of the statutory ban on separate fee charging by money lenders and their connected parties, ensure better protection of privacy of intending borrowers, enhance transparency and disclosure and promote the importance of prudent borrowing. For example, one of the additional licensing conditions is that all money lenders should include a warning statement in their advertisements in relation to their money lending business, namely “Warning: You have to repay your loans. Don’t pay any intermediaries.”</w:t>
      </w:r>
    </w:p>
    <w:p>
      <w:pPr>
        <w:spacing w:after="0" w:line="173" w:lineRule="exact"/>
        <w:rPr>
          <w:sz w:val="20"/>
          <w:szCs w:val="20"/>
          <w:color w:val="auto"/>
        </w:rPr>
      </w:pPr>
    </w:p>
    <w:p>
      <w:pPr>
        <w:ind w:left="240" w:right="60" w:firstLine="438"/>
        <w:spacing w:after="0" w:line="262" w:lineRule="auto"/>
        <w:rPr>
          <w:sz w:val="20"/>
          <w:szCs w:val="20"/>
          <w:color w:val="auto"/>
        </w:rPr>
      </w:pPr>
      <w:r>
        <w:rPr>
          <w:rFonts w:ascii="Arial" w:cs="Arial" w:eastAsia="Arial" w:hAnsi="Arial"/>
          <w:sz w:val="18"/>
          <w:szCs w:val="18"/>
          <w:color w:val="auto"/>
        </w:rPr>
        <w:t>The additional licensing conditions came into effect on December 1, 2016. The Companies Registry of Hong Kong also published a new “Guidelines on Additional Licensing Conditions of Money Lenders License” to provide guidance for money lenders licenses on the requirements of the additional licensing conditions.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 of the Laws and Regulations Relating to Our Business and Operations in China</w:t>
      </w:r>
    </w:p>
    <w:p>
      <w:pPr>
        <w:spacing w:after="0" w:line="119" w:lineRule="exact"/>
        <w:rPr>
          <w:sz w:val="20"/>
          <w:szCs w:val="20"/>
          <w:color w:val="auto"/>
        </w:rPr>
      </w:pPr>
    </w:p>
    <w:p>
      <w:pPr>
        <w:ind w:left="240" w:right="160" w:firstLine="438"/>
        <w:spacing w:after="0" w:line="275" w:lineRule="auto"/>
        <w:rPr>
          <w:sz w:val="20"/>
          <w:szCs w:val="20"/>
          <w:color w:val="auto"/>
        </w:rPr>
      </w:pPr>
      <w:r>
        <w:rPr>
          <w:rFonts w:ascii="Arial" w:cs="Arial" w:eastAsia="Arial" w:hAnsi="Arial"/>
          <w:sz w:val="18"/>
          <w:szCs w:val="18"/>
          <w:color w:val="auto"/>
        </w:rPr>
        <w:t>This section sets forth a summary of the most significant laws, regulations and rules that affect our business activities in the PRC or the rights of our shareholders to receive dividends and other distributions from us.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on Securities Business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the Engagement of Securities Business within the Territory of the PRC by Foreign-Invested Securities Companies</w:t>
      </w:r>
    </w:p>
    <w:p>
      <w:pPr>
        <w:spacing w:after="0" w:line="115" w:lineRule="exact"/>
        <w:rPr>
          <w:sz w:val="20"/>
          <w:szCs w:val="20"/>
          <w:color w:val="auto"/>
        </w:rPr>
      </w:pPr>
    </w:p>
    <w:p>
      <w:pPr>
        <w:ind w:left="240" w:right="140" w:firstLine="438"/>
        <w:spacing w:after="0" w:line="257" w:lineRule="auto"/>
        <w:rPr>
          <w:sz w:val="20"/>
          <w:szCs w:val="20"/>
          <w:color w:val="auto"/>
        </w:rPr>
      </w:pPr>
      <w:r>
        <w:rPr>
          <w:rFonts w:ascii="Arial" w:cs="Arial" w:eastAsia="Arial" w:hAnsi="Arial"/>
          <w:sz w:val="18"/>
          <w:szCs w:val="18"/>
          <w:color w:val="auto"/>
        </w:rPr>
        <w:t>On December 29, 1998, the Standing Committee of the National People’s Congress, or the SCNPC, promulgated the Securities Law of the PRC, or the Securities Law, and most recently amended on August 31, 2014, governs all the issuance or trading of shares, corporate bonds or any other securities approved by the State Council within China. No entities or individuals shall engage in securities business without the approval by the securities regulatory authority of the State Council.</w:t>
      </w:r>
    </w:p>
    <w:p>
      <w:pPr>
        <w:spacing w:after="0" w:line="188" w:lineRule="exact"/>
        <w:rPr>
          <w:sz w:val="20"/>
          <w:szCs w:val="20"/>
          <w:color w:val="auto"/>
        </w:rPr>
      </w:pPr>
    </w:p>
    <w:p>
      <w:pPr>
        <w:ind w:left="240" w:right="260" w:firstLine="438"/>
        <w:spacing w:after="0" w:line="309" w:lineRule="auto"/>
        <w:rPr>
          <w:sz w:val="20"/>
          <w:szCs w:val="20"/>
          <w:color w:val="auto"/>
        </w:rPr>
      </w:pPr>
      <w:r>
        <w:rPr>
          <w:rFonts w:ascii="Arial" w:cs="Arial" w:eastAsia="Arial" w:hAnsi="Arial"/>
          <w:sz w:val="16"/>
          <w:szCs w:val="16"/>
          <w:color w:val="auto"/>
        </w:rPr>
        <w:t>The State Council promulgated the Regulations on the Supervision and Administration of Securities Companies on April 23, 2008 and most recently amended on July 29, 2014, which clarifies that the operation of securities businesses or establishment of representative agencies in China by foreign-invested securities companies shall be subject to the approval of the securities regulatory authority of the State Council.</w:t>
      </w:r>
    </w:p>
    <w:p>
      <w:pPr>
        <w:spacing w:after="0" w:line="149"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We redirect our users and clients to open accounts and make transactions outside China, which may be considered as “engaging in securities business within the territory of the People’s Republic of China” and an approval from State Council securities regulatory authority may be required. See “Risk Factors—Risks Related to Our Business and Industry—We do not hold any license or permit for providing securities brokerage business in China. Although we do not believe we engage in securities brokerage business in China, there remain uncertainties to the interpretation and implementation of relevant PRC laws and regulations.”</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60"/>
          </w:cols>
          <w:pgMar w:left="240" w:top="457"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the Securities Investment Consulting Service</w:t>
      </w:r>
    </w:p>
    <w:p>
      <w:pPr>
        <w:spacing w:after="0" w:line="115" w:lineRule="exact"/>
        <w:rPr>
          <w:sz w:val="20"/>
          <w:szCs w:val="20"/>
          <w:color w:val="auto"/>
        </w:rPr>
      </w:pPr>
    </w:p>
    <w:p>
      <w:pPr>
        <w:ind w:left="240" w:right="20" w:firstLine="438"/>
        <w:spacing w:after="0" w:line="267" w:lineRule="auto"/>
        <w:rPr>
          <w:sz w:val="20"/>
          <w:szCs w:val="20"/>
          <w:color w:val="auto"/>
        </w:rPr>
      </w:pPr>
      <w:r>
        <w:rPr>
          <w:rFonts w:ascii="Arial" w:cs="Arial" w:eastAsia="Arial" w:hAnsi="Arial"/>
          <w:sz w:val="17"/>
          <w:szCs w:val="17"/>
          <w:color w:val="auto"/>
        </w:rPr>
        <w:t>On December 25, 1997, the CSRC issued the Interim Measures for the Administration of Securities or Futures Investment Consulting, or the Interim Measures for Securities Investment Consulting, which became effective on April 1, 1998. According to the Interim Measures for Securities Investment Consulting, the securities investment consulting service means any analysis, prediction, recommendations or other directly or indirectly charged consulting services provided by securities investment consulting institutions and their investment consultants to securities investors or clients, including: (i) to accept any entrustment from any investor or client to provide securities or futures investment consulting services; (ii) to hold any consulting seminar, lecture or analysis related to securities or futures investment; (iii) to write any article, commentary or report on securities or futures investment consultancy in any newspaper or periodical, or to provide securities or futures investment consulting services through media such as radio or television; (iv) to provide securities or futures investment consulting services through telecommunications facilities such as telephone, fax, computer network; and (v) other forms recognized by the CSRC. In addition, all institutions shall obtain the operation permits issued by the CSRC and all person must obtain professional qualification as a securities investment consultant and joining a qualified securities investment consulting institution before engaged in securities investment consulting service.</w:t>
      </w:r>
    </w:p>
    <w:p>
      <w:pPr>
        <w:spacing w:after="0" w:line="186" w:lineRule="exact"/>
        <w:rPr>
          <w:sz w:val="20"/>
          <w:szCs w:val="20"/>
          <w:color w:val="auto"/>
        </w:rPr>
      </w:pPr>
    </w:p>
    <w:p>
      <w:pPr>
        <w:ind w:left="240" w:right="60" w:firstLine="438"/>
        <w:spacing w:after="0" w:line="253" w:lineRule="auto"/>
        <w:rPr>
          <w:sz w:val="20"/>
          <w:szCs w:val="20"/>
          <w:color w:val="auto"/>
        </w:rPr>
      </w:pPr>
      <w:r>
        <w:rPr>
          <w:rFonts w:ascii="Arial" w:cs="Arial" w:eastAsia="Arial" w:hAnsi="Arial"/>
          <w:sz w:val="18"/>
          <w:szCs w:val="18"/>
          <w:color w:val="auto"/>
        </w:rPr>
        <w:t>On October 11, 2001, the CSRS promulgated the Notice with Respect to Certain Issues on Regulating the Securities Investment Consulting Services Provided for the Public, which became effective on the same day, stipulates that media which disseminate securities-related information shall not publish or broadcast any analysis, prediction or recommendation in respect of the trends of securities markets and securities products, as well as the feasibility of the securities investment made by any institution which does not obtain the operation permits for securities investment consulting services or any individual who does not obtain the professional qualification for securities investment advisors from CSRC. Any media in violation of the foregoing stipulation will be subject to reprimand or exposure by the CSRC, or be transferred to competent department or judicial organ for further handling.</w:t>
      </w:r>
    </w:p>
    <w:p>
      <w:pPr>
        <w:spacing w:after="0" w:line="191" w:lineRule="exact"/>
        <w:rPr>
          <w:sz w:val="20"/>
          <w:szCs w:val="20"/>
          <w:color w:val="auto"/>
        </w:rPr>
      </w:pPr>
    </w:p>
    <w:p>
      <w:pPr>
        <w:ind w:left="240" w:firstLine="438"/>
        <w:spacing w:after="0" w:line="252" w:lineRule="auto"/>
        <w:rPr>
          <w:sz w:val="20"/>
          <w:szCs w:val="20"/>
          <w:color w:val="auto"/>
        </w:rPr>
      </w:pPr>
      <w:r>
        <w:rPr>
          <w:rFonts w:ascii="Arial" w:cs="Arial" w:eastAsia="Arial" w:hAnsi="Arial"/>
          <w:sz w:val="18"/>
          <w:szCs w:val="18"/>
          <w:color w:val="auto"/>
        </w:rPr>
        <w:t>On December 5, 2012, the CSRC published the Interim Provisions on Strengthening the Regulation over Securities Investment Consulting Services by Using “Stock Recommendation Software” Products, or the Interim Provisions, and came into effect on January 1, 2013. Pursuant to the Interim Provisions, “stock recommendation software” are defined as any software products, software tools or terminal devices with one or more of the following securities investment consulting services: (i) Providing investment analysis on specific securities investment products or predicting the price trends of specific securities investment products; (ii) Recommending the selection of specific securities investments products; (iii) Recommending the timing for trading specific securities investments products; and/or (iv) Providing other securities investment analysis, prediction or recommendations. Therefore, selling or providing “stock recommendation software” products to investors and directly or indirectly obtain economic benefits therefrom shall be considered as engaging in securities investment consulting business and the operation permits for securities investment consulting services from CSRC shall be obtained.</w:t>
      </w:r>
    </w:p>
    <w:p>
      <w:pPr>
        <w:spacing w:after="0" w:line="192" w:lineRule="exact"/>
        <w:rPr>
          <w:sz w:val="20"/>
          <w:szCs w:val="20"/>
          <w:color w:val="auto"/>
        </w:rPr>
      </w:pPr>
    </w:p>
    <w:p>
      <w:pPr>
        <w:ind w:left="240" w:right="120" w:firstLine="438"/>
        <w:spacing w:after="0" w:line="277" w:lineRule="auto"/>
        <w:rPr>
          <w:sz w:val="20"/>
          <w:szCs w:val="20"/>
          <w:color w:val="auto"/>
        </w:rPr>
      </w:pPr>
      <w:r>
        <w:rPr>
          <w:rFonts w:ascii="Arial" w:cs="Arial" w:eastAsia="Arial" w:hAnsi="Arial"/>
          <w:sz w:val="17"/>
          <w:szCs w:val="17"/>
          <w:color w:val="auto"/>
        </w:rPr>
        <w:t>We cannot assure you that any information or content provided on our website, desktop devices and mobile applications in China will not be considered as engaging in investment consulting business for providing the public with securities analysis, forecast or recommendations through the forum or broadcasting of pre-recorded videos. See “Risk Factors—Risks Related to Our Business and Industry—We have not obtained certain relevant licenses from PRC authorities in connection with some of the information and services available on our platform.”</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Offshore Stocks Investment</w:t>
      </w:r>
    </w:p>
    <w:p>
      <w:pPr>
        <w:spacing w:after="0" w:line="115" w:lineRule="exact"/>
        <w:rPr>
          <w:sz w:val="20"/>
          <w:szCs w:val="20"/>
          <w:color w:val="auto"/>
        </w:rPr>
      </w:pPr>
    </w:p>
    <w:p>
      <w:pPr>
        <w:jc w:val="both"/>
        <w:ind w:left="240" w:right="20" w:firstLine="438"/>
        <w:spacing w:after="0" w:line="262" w:lineRule="auto"/>
        <w:rPr>
          <w:sz w:val="20"/>
          <w:szCs w:val="20"/>
          <w:color w:val="auto"/>
        </w:rPr>
      </w:pPr>
      <w:r>
        <w:rPr>
          <w:rFonts w:ascii="Arial" w:cs="Arial" w:eastAsia="Arial" w:hAnsi="Arial"/>
          <w:sz w:val="18"/>
          <w:szCs w:val="18"/>
          <w:color w:val="auto"/>
        </w:rPr>
        <w:t>On January 29, 1996, the State Council promulgated the Foreign Exchange Administration Regulations of the PRC</w:t>
      </w:r>
      <w:r>
        <w:rPr>
          <w:rFonts w:ascii="Arial" w:cs="Arial" w:eastAsia="Arial" w:hAnsi="Arial"/>
          <w:sz w:val="18"/>
          <w:szCs w:val="18"/>
          <w:i w:val="1"/>
          <w:iCs w:val="1"/>
          <w:color w:val="auto"/>
        </w:rPr>
        <w:t>,</w:t>
      </w:r>
      <w:r>
        <w:rPr>
          <w:rFonts w:ascii="Arial" w:cs="Arial" w:eastAsia="Arial" w:hAnsi="Arial"/>
          <w:sz w:val="18"/>
          <w:szCs w:val="18"/>
          <w:color w:val="auto"/>
        </w:rPr>
        <w:t xml:space="preserve"> which was last amended and became effective on August 5, 2008. Pursuant to the Foreign Exchange Administration Regulations of the PRC, Chinese nationals shall register with the foreign exchange administration</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60"/>
          </w:cols>
          <w:pgMar w:left="240" w:top="457"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54" w:lineRule="auto"/>
        <w:rPr>
          <w:sz w:val="20"/>
          <w:szCs w:val="20"/>
          <w:color w:val="auto"/>
        </w:rPr>
      </w:pPr>
      <w:r>
        <w:rPr>
          <w:rFonts w:ascii="Arial" w:cs="Arial" w:eastAsia="Arial" w:hAnsi="Arial"/>
          <w:sz w:val="18"/>
          <w:szCs w:val="18"/>
          <w:color w:val="auto"/>
        </w:rPr>
        <w:t>department of the State Council for any foreign direct investment or engagement in any issuance or transaction of offshore valuable securities or derivative products. On December 25, 2006, the People’s Bank of China promulgated the Administrative Measures for Personal Foreign Exchange, which further clarifies that any offshore equity, fixed-income or other approved financial investments by Chinese nationals, shall be conducted through a qualified domestic financial institution. On January 5, 2007, the SAFE published the Implementation of the Administrative Measures for Personal Foreign Exchange and last amended on May 29, 2016, under which Chinese nationals are limited to a foreign exchange quota of US$50,000 per year for approved uses only.</w:t>
      </w:r>
    </w:p>
    <w:p>
      <w:pPr>
        <w:spacing w:after="0" w:line="190" w:lineRule="exact"/>
        <w:rPr>
          <w:sz w:val="20"/>
          <w:szCs w:val="20"/>
          <w:color w:val="auto"/>
        </w:rPr>
      </w:pPr>
    </w:p>
    <w:p>
      <w:pPr>
        <w:ind w:left="240" w:right="60" w:firstLine="438"/>
        <w:spacing w:after="0" w:line="255" w:lineRule="auto"/>
        <w:rPr>
          <w:sz w:val="20"/>
          <w:szCs w:val="20"/>
          <w:color w:val="auto"/>
        </w:rPr>
      </w:pPr>
      <w:r>
        <w:rPr>
          <w:rFonts w:ascii="Arial" w:cs="Arial" w:eastAsia="Arial" w:hAnsi="Arial"/>
          <w:sz w:val="18"/>
          <w:szCs w:val="18"/>
          <w:color w:val="auto"/>
        </w:rPr>
        <w:t>In addition, pursuant to the SAFE Officials Interview on Improving the Management of Declarations of Individual Foreign Exchange Information on December 31, 2016, Chinese nationals can only engage in offshore investments under capital items only provided methods such as Qualified Domestic Institutional Investors, otherwise Chinese nationals can only purchase foreign currency for the purpose of external payments within the scope of current items, including private travel, overseas study, business trips, family visits, overseas medical treatment, trade in goods, purchase of non-investment insurance and consulting services.</w:t>
      </w:r>
    </w:p>
    <w:p>
      <w:pPr>
        <w:spacing w:after="0" w:line="189" w:lineRule="exact"/>
        <w:rPr>
          <w:sz w:val="20"/>
          <w:szCs w:val="20"/>
          <w:color w:val="auto"/>
        </w:rPr>
      </w:pPr>
    </w:p>
    <w:p>
      <w:pPr>
        <w:ind w:left="240" w:right="60" w:firstLine="438"/>
        <w:spacing w:after="0" w:line="272" w:lineRule="auto"/>
        <w:rPr>
          <w:sz w:val="20"/>
          <w:szCs w:val="20"/>
          <w:color w:val="auto"/>
        </w:rPr>
      </w:pPr>
      <w:r>
        <w:rPr>
          <w:rFonts w:ascii="Arial" w:cs="Arial" w:eastAsia="Arial" w:hAnsi="Arial"/>
          <w:sz w:val="17"/>
          <w:szCs w:val="17"/>
          <w:color w:val="auto"/>
        </w:rPr>
        <w:t>We do not convert Renminbi into Hong Kong dollars or U.S. dollars for our clients, and require those who would like to trade securities listed on the Hong Kong Stock Exchange or any major stock exchange in the United States through our platform to inject funding into their respective trading accounts in Hong Kong in either Hong Kong dollars or U.S. dollars. See “Risk Factors—Risks Related to Our Business and Industry—PRC governmental control of currency conversion and offshore investment could have a direct impact on the trading volume achieved on our platform. If the government further tightens restrictions on converting Renminbi to foreign currencies, including Hong Kong dollars and U.S. dollars, and/or deems our practice as in violation of PRC laws and regulations, our business will be materially and adversely affected.”</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brokerage business involving securities qualified under the Hong Kong, Shanghai and Shenzhen Stock Connect</w:t>
      </w:r>
    </w:p>
    <w:p>
      <w:pPr>
        <w:spacing w:after="0" w:line="223" w:lineRule="exact"/>
        <w:rPr>
          <w:sz w:val="20"/>
          <w:szCs w:val="20"/>
          <w:color w:val="auto"/>
        </w:rPr>
      </w:pPr>
    </w:p>
    <w:p>
      <w:pPr>
        <w:ind w:left="240" w:right="120" w:firstLine="438"/>
        <w:spacing w:after="0" w:line="255" w:lineRule="auto"/>
        <w:rPr>
          <w:sz w:val="20"/>
          <w:szCs w:val="20"/>
          <w:color w:val="auto"/>
        </w:rPr>
      </w:pPr>
      <w:r>
        <w:rPr>
          <w:rFonts w:ascii="Arial" w:cs="Arial" w:eastAsia="Arial" w:hAnsi="Arial"/>
          <w:sz w:val="18"/>
          <w:szCs w:val="18"/>
          <w:color w:val="auto"/>
        </w:rPr>
        <w:t>On September 30, 2016, the CSRC promulgated the Several Provisions on the Inter-connected Mechanism for Trading on Stock Markets in the Mainland and Hong Kong, which regulates that the Shanghai Stock Exchange and the Shenzhen Stock Exchange separately shall set up technical connections with the Stock Exchange of Hong Kong Limited to allow investors in the Mainland and Hong Kong to, through their local securities companies or brokers, trade qualified shares listed on the stock exchange of the other side, including the Shanghai-Hong Kong Stock Connect Program and the Shenzhen-Hong Kong Stock Connect Program.</w:t>
      </w:r>
    </w:p>
    <w:p>
      <w:pPr>
        <w:spacing w:after="0" w:line="189" w:lineRule="exact"/>
        <w:rPr>
          <w:sz w:val="20"/>
          <w:szCs w:val="20"/>
          <w:color w:val="auto"/>
        </w:rPr>
      </w:pPr>
    </w:p>
    <w:p>
      <w:pPr>
        <w:ind w:left="240" w:right="140" w:firstLine="438"/>
        <w:spacing w:after="0" w:line="255" w:lineRule="auto"/>
        <w:rPr>
          <w:sz w:val="20"/>
          <w:szCs w:val="20"/>
          <w:color w:val="auto"/>
        </w:rPr>
      </w:pPr>
      <w:r>
        <w:rPr>
          <w:rFonts w:ascii="Arial" w:cs="Arial" w:eastAsia="Arial" w:hAnsi="Arial"/>
          <w:sz w:val="18"/>
          <w:szCs w:val="18"/>
          <w:color w:val="auto"/>
        </w:rPr>
        <w:t>The Implementing Measures of the Shanghai Stock Exchange for the Shanghai-Hong Kong Stock Connect Program, promulgated on September 26, 2014, by the Shanghai Stock Exchange, and last amended on September 7, 2018, and the Implementing Measures of the Shenzhen Stock Exchange for the Shenzhen-Hong Kong Stock Connect Program, promulgated on September 30, 2016, by the Shenzhen Stock Exchange, and last amended on September 7, 2018, clarity that the securities qualified under the Shanghai-Hong Kong Stock Connect Program and the Shenzhen-Hong Kong Stock Connect Program shall be quoted and traded in Renminbi.</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clients could trade securities qualified under the Hong Kong, Shanghai and Shenzhen Stock Connect through our platform.</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on Internet Service</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 on Foreign Investment</w:t>
      </w:r>
    </w:p>
    <w:p>
      <w:pPr>
        <w:spacing w:after="0" w:line="115" w:lineRule="exact"/>
        <w:rPr>
          <w:sz w:val="20"/>
          <w:szCs w:val="20"/>
          <w:color w:val="auto"/>
        </w:rPr>
      </w:pPr>
    </w:p>
    <w:p>
      <w:pPr>
        <w:jc w:val="both"/>
        <w:ind w:left="240" w:right="240" w:firstLine="438"/>
        <w:spacing w:after="0" w:line="262" w:lineRule="auto"/>
        <w:rPr>
          <w:sz w:val="20"/>
          <w:szCs w:val="20"/>
          <w:color w:val="auto"/>
        </w:rPr>
      </w:pPr>
      <w:r>
        <w:rPr>
          <w:rFonts w:ascii="Arial" w:cs="Arial" w:eastAsia="Arial" w:hAnsi="Arial"/>
          <w:sz w:val="18"/>
          <w:szCs w:val="18"/>
          <w:color w:val="auto"/>
        </w:rPr>
        <w:t>The Guidance Catalog of Industries for Foreign Investment, or the Foreign Investment Catalog, was promulgated by the National Development and Reform Commission and the Ministry of Commerce in 1995, and most recently amended on June 28, 2017. The Foreign Investment Catalog lays out the basic framework for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240" w:top="457"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60"/>
        <w:spacing w:after="0" w:line="305" w:lineRule="auto"/>
        <w:rPr>
          <w:sz w:val="20"/>
          <w:szCs w:val="20"/>
          <w:color w:val="auto"/>
        </w:rPr>
      </w:pPr>
      <w:r>
        <w:rPr>
          <w:rFonts w:ascii="Arial" w:cs="Arial" w:eastAsia="Arial" w:hAnsi="Arial"/>
          <w:sz w:val="17"/>
          <w:szCs w:val="17"/>
          <w:color w:val="auto"/>
        </w:rPr>
        <w:t>foreign investment in China, classifying businesses into three categories with regard to foreign investment: “encourage,” “restricted” and “prohibited.” Industries not listed in the catalog are generally deemed as “permitted” unless specifically restricted by other PRC laws.</w:t>
      </w:r>
    </w:p>
    <w:p>
      <w:pPr>
        <w:spacing w:after="0" w:line="148" w:lineRule="exact"/>
        <w:rPr>
          <w:sz w:val="20"/>
          <w:szCs w:val="20"/>
          <w:color w:val="auto"/>
        </w:rPr>
      </w:pPr>
    </w:p>
    <w:p>
      <w:pPr>
        <w:ind w:left="240" w:right="40" w:firstLine="438"/>
        <w:spacing w:after="0" w:line="274" w:lineRule="auto"/>
        <w:rPr>
          <w:sz w:val="20"/>
          <w:szCs w:val="20"/>
          <w:color w:val="auto"/>
        </w:rPr>
      </w:pPr>
      <w:r>
        <w:rPr>
          <w:rFonts w:ascii="Arial" w:cs="Arial" w:eastAsia="Arial" w:hAnsi="Arial"/>
          <w:sz w:val="17"/>
          <w:szCs w:val="17"/>
          <w:color w:val="auto"/>
        </w:rPr>
        <w:t>On June 28, 2018, the Ministry of Commerce and the National Development and Reform Commission promulgated the Special Administrative Measures for Entrance of Foreign Investment (Negative List) (2018 Version), or the Negative List, which replaced and abolished the Guidance Catalog of Industries for Foreign Investment (2017 Revision) regulating the access of foreign investors to China. Pursuant to the Negative List, foreign investors cannot conduct investment activities on the Negative List, and can only conduct investment activities that are listed in the Negative List but not classified as “prohibited” with certain shareholding requirements and approvals from competent authorities.</w:t>
      </w:r>
    </w:p>
    <w:p>
      <w:pPr>
        <w:spacing w:after="0" w:line="173" w:lineRule="exact"/>
        <w:rPr>
          <w:sz w:val="20"/>
          <w:szCs w:val="20"/>
          <w:color w:val="auto"/>
        </w:rPr>
      </w:pPr>
    </w:p>
    <w:p>
      <w:pPr>
        <w:jc w:val="both"/>
        <w:ind w:left="240" w:right="100" w:firstLine="438"/>
        <w:spacing w:after="0" w:line="309" w:lineRule="auto"/>
        <w:rPr>
          <w:sz w:val="20"/>
          <w:szCs w:val="20"/>
          <w:color w:val="auto"/>
        </w:rPr>
      </w:pPr>
      <w:r>
        <w:rPr>
          <w:rFonts w:ascii="Arial" w:cs="Arial" w:eastAsia="Arial" w:hAnsi="Arial"/>
          <w:sz w:val="16"/>
          <w:szCs w:val="16"/>
          <w:color w:val="auto"/>
        </w:rPr>
        <w:t>We are a Cayman Island company and our businesses in China are mainly internet information services, internet Audio-Visual Programs services and internet news information service, which are restricted or prohibited for foreign investors by the Foreign Investment Catalog and the Negative List. We conduct a limited part of our business operations that is restricted or prohibited for foreign investment through our variable interest entity, or VIE.</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Telecommunication Services</w:t>
      </w:r>
    </w:p>
    <w:p>
      <w:pPr>
        <w:spacing w:after="0" w:line="115" w:lineRule="exact"/>
        <w:rPr>
          <w:sz w:val="20"/>
          <w:szCs w:val="20"/>
          <w:color w:val="auto"/>
        </w:rPr>
      </w:pPr>
    </w:p>
    <w:p>
      <w:pPr>
        <w:ind w:left="240" w:right="60" w:firstLine="438"/>
        <w:spacing w:after="0" w:line="254" w:lineRule="auto"/>
        <w:rPr>
          <w:sz w:val="20"/>
          <w:szCs w:val="20"/>
          <w:color w:val="auto"/>
        </w:rPr>
      </w:pPr>
      <w:r>
        <w:rPr>
          <w:rFonts w:ascii="Arial" w:cs="Arial" w:eastAsia="Arial" w:hAnsi="Arial"/>
          <w:sz w:val="18"/>
          <w:szCs w:val="18"/>
          <w:color w:val="auto"/>
        </w:rPr>
        <w:t>The Telecommunications Regulations of the PRC (2016 Revision), or the Telecom Regulations, promulgated on September 25, 2000 by the State Council and most recently amended on February 6, 2016, which distinguish ‘‘basic telecommunications services’’ from ‘‘value-added telecommunications services. The basic telecommunications services provider who provides public network infrastructure, public data transmission and basic voice communications services shall obtain a Basic Telecommunications Service Operating License, and the commercial telecommunications service provider shall obtain an operating license from the Ministry of Industry and Information Technology, or the MIIT, or its counterparts at provincial level prior to its commencement of operations.</w:t>
      </w:r>
    </w:p>
    <w:p>
      <w:pPr>
        <w:spacing w:after="0" w:line="190" w:lineRule="exact"/>
        <w:rPr>
          <w:sz w:val="20"/>
          <w:szCs w:val="20"/>
          <w:color w:val="auto"/>
        </w:rPr>
      </w:pPr>
    </w:p>
    <w:p>
      <w:pPr>
        <w:ind w:left="240" w:right="60" w:firstLine="438"/>
        <w:spacing w:after="0" w:line="255" w:lineRule="auto"/>
        <w:rPr>
          <w:sz w:val="20"/>
          <w:szCs w:val="20"/>
          <w:color w:val="auto"/>
        </w:rPr>
      </w:pPr>
      <w:r>
        <w:rPr>
          <w:rFonts w:ascii="Arial" w:cs="Arial" w:eastAsia="Arial" w:hAnsi="Arial"/>
          <w:sz w:val="18"/>
          <w:szCs w:val="18"/>
          <w:color w:val="auto"/>
        </w:rPr>
        <w:t>The Administrative Measures on Internet Information Services (2011 Revision), promulgated on September 25, 2000 and amended on January 8, 2011 by the State Council, further defines that commercial internet information services providers, which mean providers of information or services to internet users with charge, shall obtain an Internet Content Provider License or the ICP License, from competent government authorities before providing any commercial internet content services within the PRC. To comply with the relevant laws and regulations, Shenzhen Futu holds a valid ICP License.</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 on Internet Audio-Visual Program Services</w:t>
      </w:r>
    </w:p>
    <w:p>
      <w:pPr>
        <w:spacing w:after="0" w:line="115" w:lineRule="exact"/>
        <w:rPr>
          <w:sz w:val="20"/>
          <w:szCs w:val="20"/>
          <w:color w:val="auto"/>
        </w:rPr>
      </w:pPr>
    </w:p>
    <w:p>
      <w:pPr>
        <w:ind w:left="240" w:firstLine="438"/>
        <w:spacing w:after="0" w:line="267" w:lineRule="auto"/>
        <w:rPr>
          <w:sz w:val="20"/>
          <w:szCs w:val="20"/>
          <w:color w:val="auto"/>
        </w:rPr>
      </w:pPr>
      <w:r>
        <w:rPr>
          <w:rFonts w:ascii="Arial" w:cs="Arial" w:eastAsia="Arial" w:hAnsi="Arial"/>
          <w:sz w:val="17"/>
          <w:szCs w:val="17"/>
          <w:color w:val="auto"/>
        </w:rPr>
        <w:t>The Administrative Provisions on the Internet Audio-Video Program Service, or the Audio-Video Program Provisions, promulgated on December 20, 2007, and amended on August 28, 2015, by the Ministry of Information Industry (the predecessor of the MIIT) and the State Administration of Press, Publication, Radio, Film and Television, or the SAPPRFT, stipulates that providers of internet audio-visual program services should obtain an Audio and Video Service Permission, or AVSP. The Categories of the Internet Audio-Video Program Services, or the Audio-Video Program Categories, promulgated on April 1, 2010, and amended on March 10, 2017, by SAPPRFT, classifies internet audio-video programs into four categories. Aggregating and broadcasting service of arts, entertainment, technology, finance and economics, sports, education and other specialized audio-video programs falls into Category II of above four categories. In general, providers of internet audio-visual program services must be either state-owned or state-controlled entities, and their businesses must satisfy the overall planning and guidance catalog for internet audio-visual program service determined by SAPPRFT. In addition, foreign-invested enterprises are not allowed to engage in the above-mentioned services. Failure to obtain AVSP, we may be subject to fines and legal sanctions, and our business, financial conditions and results of operations may be affected. See “Risk Factors— Risks Related to Our Business and Industry—We have not obtained certain relevant licenses from PRC authorities in connection with some of the information and services available on our platform.”</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57"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 on Internet Culture Activities</w:t>
      </w:r>
    </w:p>
    <w:p>
      <w:pPr>
        <w:spacing w:after="0" w:line="115"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The Interim Administrative Provisions on Internet Culture, or the Internet Culture Provisions, promulgated on February 17, 2011, and amended on December 15, 2017, by the Ministry of Culture, stipulates that providers of internet cultural products or services, such as internet shows or programs and internet games must file an application for establishment to the competent culture administration authorities for approval and must obtain the online culture operating permit. If any entity engages in commercial internet culture activities without approval, the cultural administration authorities or other relevant government may order such entity to cease to operate internet culture activities as well as levying penalties including administrative warning and fines up to RMB30, 000. In addition, foreign-invested enterprises are not allowed to engage in the above-mentioned services except online music. As of the date of the prospects, Shenzhen Futu holds a valid Online Culture Operating Permit.</w:t>
      </w:r>
    </w:p>
    <w:p>
      <w:pPr>
        <w:spacing w:after="0" w:line="28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 on Production and Operation of Radio and Television Programs</w:t>
      </w:r>
    </w:p>
    <w:p>
      <w:pPr>
        <w:spacing w:after="0" w:line="115" w:lineRule="exact"/>
        <w:rPr>
          <w:sz w:val="20"/>
          <w:szCs w:val="20"/>
          <w:color w:val="auto"/>
        </w:rPr>
      </w:pPr>
    </w:p>
    <w:p>
      <w:pPr>
        <w:ind w:left="240" w:right="220" w:firstLine="438"/>
        <w:spacing w:after="0" w:line="274" w:lineRule="auto"/>
        <w:rPr>
          <w:sz w:val="20"/>
          <w:szCs w:val="20"/>
          <w:color w:val="auto"/>
        </w:rPr>
      </w:pPr>
      <w:r>
        <w:rPr>
          <w:rFonts w:ascii="Arial" w:cs="Arial" w:eastAsia="Arial" w:hAnsi="Arial"/>
          <w:sz w:val="17"/>
          <w:szCs w:val="17"/>
          <w:color w:val="auto"/>
        </w:rPr>
        <w:t>The Administration of Production and Operation of Radio and Television Programs, promulgated on July 19, 2004, and amended on August 28, 2015, by the SAPPRFT, provides that entities engaging in the production of radio and television programs must obtain a License for Production and Operation of Radio and TV Programs from the SAPPRFT or its counterparts at the provincial level. Entities with the License for Production and Operation of Radio and TV Programs must conduct their business operations strictly in compliance with the approved scope of production and operations. In addition, foreign-invested enterprises are not allowed to product or operate the radio and TV programs.</w:t>
      </w:r>
    </w:p>
    <w:p>
      <w:pPr>
        <w:spacing w:after="0" w:line="173" w:lineRule="exact"/>
        <w:rPr>
          <w:sz w:val="20"/>
          <w:szCs w:val="20"/>
          <w:color w:val="auto"/>
        </w:rPr>
      </w:pPr>
    </w:p>
    <w:p>
      <w:pPr>
        <w:ind w:left="240" w:right="520" w:firstLine="438"/>
        <w:spacing w:after="0" w:line="275" w:lineRule="auto"/>
        <w:rPr>
          <w:sz w:val="20"/>
          <w:szCs w:val="20"/>
          <w:color w:val="auto"/>
        </w:rPr>
      </w:pPr>
      <w:r>
        <w:rPr>
          <w:rFonts w:ascii="Arial" w:cs="Arial" w:eastAsia="Arial" w:hAnsi="Arial"/>
          <w:sz w:val="18"/>
          <w:szCs w:val="18"/>
          <w:color w:val="auto"/>
        </w:rPr>
        <w:t>As of the date of this prospectus, to comply with the relevant laws and regulations, Shenzhen Futu holds a valid License for Production and Operation of Radio and TV Programs as required by the Radio and TV Programs Regulations.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 on Internet News Dissemination</w:t>
      </w:r>
    </w:p>
    <w:p>
      <w:pPr>
        <w:spacing w:after="0" w:line="115" w:lineRule="exact"/>
        <w:rPr>
          <w:sz w:val="20"/>
          <w:szCs w:val="20"/>
          <w:color w:val="auto"/>
        </w:rPr>
      </w:pPr>
    </w:p>
    <w:p>
      <w:pPr>
        <w:ind w:left="240" w:firstLine="438"/>
        <w:spacing w:after="0" w:line="287" w:lineRule="auto"/>
        <w:rPr>
          <w:sz w:val="20"/>
          <w:szCs w:val="20"/>
          <w:color w:val="auto"/>
        </w:rPr>
      </w:pPr>
      <w:r>
        <w:rPr>
          <w:rFonts w:ascii="Arial" w:cs="Arial" w:eastAsia="Arial" w:hAnsi="Arial"/>
          <w:sz w:val="16"/>
          <w:szCs w:val="16"/>
          <w:color w:val="auto"/>
        </w:rPr>
        <w:t>The Provisions for the Administration of Internet News Information Services was promulgated by the Cyberspace Administration of China, or CAOC, on May 2, 2017, and became effective on June 1, 2017 stipulates that the providers of internet news information (includes reports and comments relating to social and public affairs such as politics, economy, military affairs and foreign affairs, as well as relevant reports and comments on social emergencies) services to the public in a variety of ways, including editing and publishing internet news information, reposting internet news information and offering platforms for users to disseminate internet news information, shall obtain the internet news license from CAOC. Various qualifications and requirements which service providers shall meet have been provided in this regulation. For those who carrying out Internet-based news information service activities without being licensed or beyond the licensed scope, the competent cyberspace administration shall order them to cease the relevant service activities and impose a fine up to RMB30,000. In addition, such regulation also stipulates that no organization may establish Internet-based news information service agencies in the form of Sino-foreign joint ventures, Sino-foreign cooperative ventures or wholly foreign-owned enterprises.</w:t>
      </w:r>
    </w:p>
    <w:p>
      <w:pPr>
        <w:spacing w:after="0" w:line="168" w:lineRule="exact"/>
        <w:rPr>
          <w:sz w:val="20"/>
          <w:szCs w:val="20"/>
          <w:color w:val="auto"/>
        </w:rPr>
      </w:pPr>
    </w:p>
    <w:p>
      <w:pPr>
        <w:ind w:left="240" w:right="120" w:firstLine="438"/>
        <w:spacing w:after="0" w:line="277" w:lineRule="auto"/>
        <w:rPr>
          <w:sz w:val="20"/>
          <w:szCs w:val="20"/>
          <w:color w:val="auto"/>
        </w:rPr>
      </w:pPr>
      <w:r>
        <w:rPr>
          <w:rFonts w:ascii="Arial" w:cs="Arial" w:eastAsia="Arial" w:hAnsi="Arial"/>
          <w:sz w:val="17"/>
          <w:szCs w:val="17"/>
          <w:color w:val="auto"/>
        </w:rPr>
        <w:t>The Implementation Rules for the Administration of the Licensing for Internet-based News Information Services, promulgated on May 22, 2017, by CAOC, and became effective on June 1, 2017, further clarifies that only a news agency (including the controlling shareholder of a news agency) or an entity under news publicity authorities may apply for a license for editing and publishing services in respect of internet-based news information. Foreign-invested enterprises are not allowed to establish any internet-based news information service entities.</w:t>
      </w:r>
    </w:p>
    <w:p>
      <w:pPr>
        <w:spacing w:after="0" w:line="172" w:lineRule="exact"/>
        <w:rPr>
          <w:sz w:val="20"/>
          <w:szCs w:val="20"/>
          <w:color w:val="auto"/>
        </w:rPr>
      </w:pPr>
    </w:p>
    <w:p>
      <w:pPr>
        <w:ind w:left="240" w:right="120" w:firstLine="438"/>
        <w:spacing w:after="0" w:line="309" w:lineRule="auto"/>
        <w:rPr>
          <w:sz w:val="20"/>
          <w:szCs w:val="20"/>
          <w:color w:val="auto"/>
        </w:rPr>
      </w:pPr>
      <w:r>
        <w:rPr>
          <w:rFonts w:ascii="Arial" w:cs="Arial" w:eastAsia="Arial" w:hAnsi="Arial"/>
          <w:sz w:val="16"/>
          <w:szCs w:val="16"/>
          <w:color w:val="auto"/>
        </w:rPr>
        <w:t>Currently, our website and mobile application contain news and financial information, thus the relevant PRC government authorities may require us to obtain an internet news license which we do not hold at present. See “Risk Factors—Risks Related to Our Business and Industry—We have not obtained certain relevant licenses from PRC authorities in connection with some of the information and services available on our platform.”</w:t>
      </w:r>
    </w:p>
    <w:p>
      <w:pPr>
        <w:spacing w:after="0" w:line="8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80"/>
          </w:cols>
          <w:pgMar w:left="240" w:top="457"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on Cybersecurity and Privacy</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Cybersecurity</w:t>
      </w:r>
    </w:p>
    <w:p>
      <w:pPr>
        <w:spacing w:after="0" w:line="115" w:lineRule="exact"/>
        <w:rPr>
          <w:sz w:val="20"/>
          <w:szCs w:val="20"/>
          <w:color w:val="auto"/>
        </w:rPr>
      </w:pPr>
    </w:p>
    <w:p>
      <w:pPr>
        <w:ind w:left="240" w:firstLine="438"/>
        <w:spacing w:after="0" w:line="287" w:lineRule="auto"/>
        <w:rPr>
          <w:sz w:val="20"/>
          <w:szCs w:val="20"/>
          <w:color w:val="auto"/>
        </w:rPr>
      </w:pPr>
      <w:r>
        <w:rPr>
          <w:rFonts w:ascii="Arial" w:cs="Arial" w:eastAsia="Arial" w:hAnsi="Arial"/>
          <w:sz w:val="16"/>
          <w:szCs w:val="16"/>
          <w:color w:val="auto"/>
        </w:rPr>
        <w:t>On December 13, 2005, the Ministry of Public Security, or the MPS, promulgated the Provisions on Technological Measures for the Internet Security Protection, or the Internet Protection Measures, which took effect on March 1, 2006. Pursuant to the Internet Protection Measures, internet service providers and entity users of interconnection shall not public or divulge user registration information without the consent of the users or otherwise specified in the relevant laws and regulations. In addition, the Internet Protection Measures requires all internet service providers and entity users of interconnection to take proper measures to control computer viruses, back up data, and keep records of certain information about their users (including user registration information, log-in and log-out time, IP address, content and time of posts by users) for at least sixty days. On June 22, 2007, the Administrative Measures for Multi-level Protection of Information Security were jointly promulgated by four PRC regulatory agencies, including the MPS, under which companies operating and using information systems shall protect the information systems and any system equal to or above level II as determined in accordance with these measures, a record-filing with the competent authority is required.</w:t>
      </w:r>
    </w:p>
    <w:p>
      <w:pPr>
        <w:spacing w:after="0" w:line="168" w:lineRule="exact"/>
        <w:rPr>
          <w:sz w:val="20"/>
          <w:szCs w:val="20"/>
          <w:color w:val="auto"/>
        </w:rPr>
      </w:pPr>
    </w:p>
    <w:p>
      <w:pPr>
        <w:ind w:left="240" w:right="60" w:firstLine="438"/>
        <w:spacing w:after="0" w:line="286" w:lineRule="auto"/>
        <w:rPr>
          <w:sz w:val="20"/>
          <w:szCs w:val="20"/>
          <w:color w:val="auto"/>
        </w:rPr>
      </w:pPr>
      <w:r>
        <w:rPr>
          <w:rFonts w:ascii="Arial" w:cs="Arial" w:eastAsia="Arial" w:hAnsi="Arial"/>
          <w:sz w:val="16"/>
          <w:szCs w:val="16"/>
          <w:color w:val="auto"/>
        </w:rPr>
        <w:t>On November 7, 2016, the SCNPC promulgated the Cybersecurity Law of the PRC, or the Cybersecurity Law, which became effective on June 1, 2017. The Cybersecurity Law regulates all the construction, operation, maintenance, use of networks and the supervision and administration of network security within the territory of China, and pursuant to which, network operators shall follow their cybersecurity obligations pursuant to the requirements of the classified protection system for cybersecurity, including: (a) formulating internal security management systems and operating instructions, determining the persons responsible for cybersecurity, and implementing the responsibility for cybersecurity protection; (b) taking technological measures to prevent computer viruses, network attacks, network intrusions and other actions endangering cybersecurity; (c) taking technological measures to monitor and record the network operation status and cybersecurity incidents; (d) taking measures such as data classification, and back-up and encryption of important data; and (e) other obligations stipulated by laws and administrative regulations. In addition, the Cybersecurity Law further requires network operators to take all necessary measures in accordance with applicable laws, regulations and compulsory national requirements to safeguard the safe and stable operation of the networks, respond to network security incidents effectively, prevent illegal and criminal activities, and maintain the integrity, confidentiality and usability of network data.</w:t>
      </w:r>
    </w:p>
    <w:p>
      <w:pPr>
        <w:spacing w:after="0" w:line="166" w:lineRule="exact"/>
        <w:rPr>
          <w:sz w:val="20"/>
          <w:szCs w:val="20"/>
          <w:color w:val="auto"/>
        </w:rPr>
      </w:pPr>
    </w:p>
    <w:p>
      <w:pPr>
        <w:ind w:left="240" w:right="200" w:firstLine="438"/>
        <w:spacing w:after="0" w:line="277" w:lineRule="auto"/>
        <w:rPr>
          <w:sz w:val="20"/>
          <w:szCs w:val="20"/>
          <w:color w:val="auto"/>
        </w:rPr>
      </w:pPr>
      <w:r>
        <w:rPr>
          <w:rFonts w:ascii="Arial" w:cs="Arial" w:eastAsia="Arial" w:hAnsi="Arial"/>
          <w:sz w:val="17"/>
          <w:szCs w:val="17"/>
          <w:color w:val="auto"/>
        </w:rPr>
        <w:t>On May 1, 2018, the Personal Information Security Specification, or China Specification, was promulgated by the General Administration of Quality Supervision, Inspection and Quarantine and came into force on May 1, 2018, which set an national standard for personal information security. Although the China Specification is not a mandatory regulation, it is likely that the China Specification will be relied on by Chinese government agencies as a standard to determine whether businesses have abided by China’s data protection rules.</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Privacy Protection</w:t>
      </w:r>
    </w:p>
    <w:p>
      <w:pPr>
        <w:spacing w:after="0" w:line="115" w:lineRule="exact"/>
        <w:rPr>
          <w:sz w:val="20"/>
          <w:szCs w:val="20"/>
          <w:color w:val="auto"/>
        </w:rPr>
      </w:pPr>
    </w:p>
    <w:p>
      <w:pPr>
        <w:ind w:left="240" w:right="100" w:firstLine="438"/>
        <w:spacing w:after="0" w:line="252" w:lineRule="auto"/>
        <w:rPr>
          <w:sz w:val="20"/>
          <w:szCs w:val="20"/>
          <w:color w:val="auto"/>
        </w:rPr>
      </w:pPr>
      <w:r>
        <w:rPr>
          <w:rFonts w:ascii="Arial" w:cs="Arial" w:eastAsia="Arial" w:hAnsi="Arial"/>
          <w:sz w:val="18"/>
          <w:szCs w:val="18"/>
          <w:color w:val="auto"/>
        </w:rPr>
        <w:t>On December 29, 2011, the MIIT issued The Several Provisions on Regulating the Market Order of Internet Information Services, which became effective on March 15, 2012 and provides that an internet information service provider may not collect any user’s personal information or provide any such information to third parties without such user’s consent. Pursuant to The Several Provisions on Regulating the Market Order of Internet Information Services, internet information service providers are required to, among others, (i) expressly inform the users of the method, content and purpose of the collection and processing of such users’ personal information and may only collect such information necessary for the provision of its services; and (ii) properly maintain the users’ personal information, and in case of any leak or possible leak of a user’s personal information, internet information service providers must take immediate remedial measures and, in severe circumstances, make an immediate report to the telecommunications regulatory authority.</w:t>
      </w:r>
    </w:p>
    <w:p>
      <w:pPr>
        <w:spacing w:after="0" w:line="195" w:lineRule="exact"/>
        <w:rPr>
          <w:sz w:val="20"/>
          <w:szCs w:val="20"/>
          <w:color w:val="auto"/>
        </w:rPr>
      </w:pPr>
    </w:p>
    <w:p>
      <w:pPr>
        <w:ind w:left="240" w:right="240" w:firstLine="438"/>
        <w:spacing w:after="0" w:line="275" w:lineRule="auto"/>
        <w:rPr>
          <w:sz w:val="20"/>
          <w:szCs w:val="20"/>
          <w:color w:val="auto"/>
        </w:rPr>
      </w:pPr>
      <w:r>
        <w:rPr>
          <w:rFonts w:ascii="Arial" w:cs="Arial" w:eastAsia="Arial" w:hAnsi="Arial"/>
          <w:sz w:val="18"/>
          <w:szCs w:val="18"/>
          <w:color w:val="auto"/>
        </w:rPr>
        <w:t>In addition, on December 28, 2012, the Decision on Strengthening Network Information Protection promulgated by the SCNPC which requires internet service providers to establish and publish policies regarding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7"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53" w:lineRule="auto"/>
        <w:rPr>
          <w:sz w:val="20"/>
          <w:szCs w:val="20"/>
          <w:color w:val="auto"/>
        </w:rPr>
      </w:pPr>
      <w:r>
        <w:rPr>
          <w:rFonts w:ascii="Arial" w:cs="Arial" w:eastAsia="Arial" w:hAnsi="Arial"/>
          <w:sz w:val="18"/>
          <w:szCs w:val="18"/>
          <w:color w:val="auto"/>
        </w:rPr>
        <w:t>the collection and use of electronic personal information and to take necessary measures to ensure the security of the information and to prevent leakage, damage or loss. On July 16, 2013, MIIT promulgated the Regulations on Protection of the Personal Information of Telecommunications and Internet Users, or the Regulations on Personal Information Protection, which enhance the legal protection over user information security and privacy on the Internet. The Regulations on Personal Information Protection require that telecommunications business operators and internet information service providers shall, in the course of providing services, collect and use the personal information of users in a lawful and proper manner by following the principle that information collection or use is necessary and responsible for the security of the personal information of users collected and used in the course of providing services.</w:t>
      </w:r>
    </w:p>
    <w:p>
      <w:pPr>
        <w:spacing w:after="0" w:line="191" w:lineRule="exact"/>
        <w:rPr>
          <w:sz w:val="20"/>
          <w:szCs w:val="20"/>
          <w:color w:val="auto"/>
        </w:rPr>
      </w:pPr>
    </w:p>
    <w:p>
      <w:pPr>
        <w:ind w:left="240" w:right="100" w:firstLine="438"/>
        <w:spacing w:after="0" w:line="275" w:lineRule="auto"/>
        <w:rPr>
          <w:sz w:val="20"/>
          <w:szCs w:val="20"/>
          <w:color w:val="auto"/>
        </w:rPr>
      </w:pPr>
      <w:r>
        <w:rPr>
          <w:rFonts w:ascii="Arial" w:cs="Arial" w:eastAsia="Arial" w:hAnsi="Arial"/>
          <w:sz w:val="18"/>
          <w:szCs w:val="18"/>
          <w:color w:val="auto"/>
        </w:rPr>
        <w:t>Any violation of these laws and regulations may subject the internet information service provider to warnings, fines, confiscation of illegal gains, revocation of licenses, cancellation of filings, closedown of websites or even criminal liabilities.</w:t>
      </w:r>
    </w:p>
    <w:p>
      <w:pPr>
        <w:spacing w:after="0" w:line="170" w:lineRule="exact"/>
        <w:rPr>
          <w:sz w:val="20"/>
          <w:szCs w:val="20"/>
          <w:color w:val="auto"/>
        </w:rPr>
      </w:pPr>
    </w:p>
    <w:p>
      <w:pPr>
        <w:ind w:left="240" w:right="60" w:firstLine="438"/>
        <w:spacing w:after="0" w:line="295" w:lineRule="auto"/>
        <w:rPr>
          <w:sz w:val="20"/>
          <w:szCs w:val="20"/>
          <w:color w:val="auto"/>
        </w:rPr>
      </w:pPr>
      <w:r>
        <w:rPr>
          <w:rFonts w:ascii="Arial" w:cs="Arial" w:eastAsia="Arial" w:hAnsi="Arial"/>
          <w:sz w:val="16"/>
          <w:szCs w:val="16"/>
          <w:color w:val="auto"/>
        </w:rPr>
        <w:t>Pursuant to the Ninth Amendment to the Criminal Law, issued by the SCNPC in August 2015, which became effective in November, 2015, any internet service provider that fails to fulfill the obligations related to internet information security administration and refuses to rectify upon orders is subject to criminal penalty for causing (i) any dissemination of illegal information in large scale; (ii) any significant damages due to the leakage of the client’s information; (iii) any serious loss of criminal evidence; or (iv) other serious harm, and any individual or entity information may be subject to criminal penalty for (i) illegally selling or providing personal information to third parties, or (ii) stealing or illegally obtaining any personal information.</w:t>
      </w:r>
    </w:p>
    <w:p>
      <w:pPr>
        <w:spacing w:after="0" w:line="158" w:lineRule="exact"/>
        <w:rPr>
          <w:sz w:val="20"/>
          <w:szCs w:val="20"/>
          <w:color w:val="auto"/>
        </w:rPr>
      </w:pPr>
    </w:p>
    <w:p>
      <w:pPr>
        <w:ind w:left="240" w:right="20" w:firstLine="438"/>
        <w:spacing w:after="0" w:line="255" w:lineRule="auto"/>
        <w:rPr>
          <w:sz w:val="20"/>
          <w:szCs w:val="20"/>
          <w:color w:val="auto"/>
        </w:rPr>
      </w:pPr>
      <w:r>
        <w:rPr>
          <w:rFonts w:ascii="Arial" w:cs="Arial" w:eastAsia="Arial" w:hAnsi="Arial"/>
          <w:sz w:val="18"/>
          <w:szCs w:val="18"/>
          <w:color w:val="auto"/>
        </w:rPr>
        <w:t>For the protection of personal information, network operators like us may not disclose or tamper with personal information that we have collected. Moreover, we may not provide personal information to third parties without prior consent. See “Risk Factors—Risks Related to Our Business and Industry—If we fail to protect the confidential information of our users and clients, whether due to cyber-attacks, computer viruses, physical or electronic break-ins or other reasons, we may be subject to liabilities imposed by relevant laws and regulations, and our reputation and business may be materially and adversely affected.”</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on Intellectual Property</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Software</w:t>
      </w:r>
    </w:p>
    <w:p>
      <w:pPr>
        <w:spacing w:after="0" w:line="115" w:lineRule="exact"/>
        <w:rPr>
          <w:sz w:val="20"/>
          <w:szCs w:val="20"/>
          <w:color w:val="auto"/>
        </w:rPr>
      </w:pPr>
    </w:p>
    <w:p>
      <w:pPr>
        <w:ind w:left="240" w:right="60" w:firstLine="438"/>
        <w:spacing w:after="0" w:line="255" w:lineRule="auto"/>
        <w:rPr>
          <w:sz w:val="20"/>
          <w:szCs w:val="20"/>
          <w:color w:val="auto"/>
        </w:rPr>
      </w:pPr>
      <w:r>
        <w:rPr>
          <w:rFonts w:ascii="Arial" w:cs="Arial" w:eastAsia="Arial" w:hAnsi="Arial"/>
          <w:sz w:val="18"/>
          <w:szCs w:val="18"/>
          <w:color w:val="auto"/>
        </w:rPr>
        <w:t>The State Council and the National Copyright Administration have promulgated various rules and regulations relating to protection of software in China. According to these rules and regulations, software owners, licensees and transferees may register their rights in software with the Copyright Protection Center or its local branches and obtain software copyright registration certificates. Although such registration is not mandatory under PRC law, software owners, licensees and transferees are encouraged to go through the registration process and registered software rights may be entitled to better protections.</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Trademark</w:t>
      </w:r>
    </w:p>
    <w:p>
      <w:pPr>
        <w:spacing w:after="0" w:line="115" w:lineRule="exact"/>
        <w:rPr>
          <w:sz w:val="20"/>
          <w:szCs w:val="20"/>
          <w:color w:val="auto"/>
        </w:rPr>
      </w:pPr>
    </w:p>
    <w:p>
      <w:pPr>
        <w:ind w:left="240" w:right="40" w:firstLine="438"/>
        <w:spacing w:after="0" w:line="269" w:lineRule="auto"/>
        <w:rPr>
          <w:sz w:val="20"/>
          <w:szCs w:val="20"/>
          <w:color w:val="auto"/>
        </w:rPr>
      </w:pPr>
      <w:r>
        <w:rPr>
          <w:rFonts w:ascii="Arial" w:cs="Arial" w:eastAsia="Arial" w:hAnsi="Arial"/>
          <w:sz w:val="17"/>
          <w:szCs w:val="17"/>
          <w:color w:val="auto"/>
        </w:rPr>
        <w:t>According to the Trademark Law of the PRC, adopted in 1982 and subsequently amended in 1993, 2001 and 2013, as well as the Implementation Regulation of the Trademark Law of the PRC adopted by the State Council in 2002 and subsequently amended in 2014, the Trademark Law of the PRC has adopted a “first-to-file” principle with respect to trademark registrations, and the registered trademarks are granted a term of ten years which may be renewed for consecutive ten-year periods upon request by the trademark owner. Upon expiry of the period of validity, the registrant shall go through the formalities for renewal within twelve months prior to the date of expiry as required if the registrant needs to continue to use the trademark. Where the registrant fails to do so, a grace period of six months may be granted. The period of validity for each renewal of registration is ten years, from the day immediately after the expiry of the preceding period of validity for the trademark. In the absence of a renewal upon expiration, the registered trademark shall be cancelled.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80"/>
          </w:cols>
          <w:pgMar w:left="240" w:top="457"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Copyright</w:t>
      </w:r>
    </w:p>
    <w:p>
      <w:pPr>
        <w:spacing w:after="0" w:line="115"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On September 7, 1990, the SCNPC promulgated the PRC Copyright Law, which was amended in 2001 and 2010, and the Implementation of Copyright Law of PRC, was promulgated on January 30, 2013 and became effective on March 1, 2013. The PRC Copyright Law and its implementation regulations are the principal laws and regulations governing related matters of copyright. Pursuant to the amended PRC Copyright Law, products disseminated over the internet and software products, among the subjects, are entitled to copyright protections. Registration of copyright is voluntary, and it is administrated by the China Copyright Protection Center.</w:t>
      </w:r>
    </w:p>
    <w:p>
      <w:pPr>
        <w:spacing w:after="0" w:line="189" w:lineRule="exact"/>
        <w:rPr>
          <w:sz w:val="20"/>
          <w:szCs w:val="20"/>
          <w:color w:val="auto"/>
        </w:rPr>
      </w:pPr>
    </w:p>
    <w:p>
      <w:pPr>
        <w:ind w:left="240" w:right="180" w:firstLine="438"/>
        <w:spacing w:after="0" w:line="277" w:lineRule="auto"/>
        <w:rPr>
          <w:sz w:val="20"/>
          <w:szCs w:val="20"/>
          <w:color w:val="auto"/>
        </w:rPr>
      </w:pPr>
      <w:r>
        <w:rPr>
          <w:rFonts w:ascii="Arial" w:cs="Arial" w:eastAsia="Arial" w:hAnsi="Arial"/>
          <w:sz w:val="17"/>
          <w:szCs w:val="17"/>
          <w:color w:val="auto"/>
        </w:rPr>
        <w:t>On May 18, 2006, the State Council promulgated the Regulations on the Protection of the Right to Network Dissemination of Information, as amended in 1, 2013. Under these regulations, an owner of the network dissemination rights with respect to written works or audio or video recordings who believes that information storage, search or link services provided by an internet service provider infringe his or her rights may require that the internet service provider delete, or disconnect the links to, such works or recordings.</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Domain name</w:t>
      </w:r>
    </w:p>
    <w:p>
      <w:pPr>
        <w:spacing w:after="0" w:line="115" w:lineRule="exact"/>
        <w:rPr>
          <w:sz w:val="20"/>
          <w:szCs w:val="20"/>
          <w:color w:val="auto"/>
        </w:rPr>
      </w:pPr>
    </w:p>
    <w:p>
      <w:pPr>
        <w:ind w:left="240" w:right="40" w:firstLine="438"/>
        <w:spacing w:after="0" w:line="254" w:lineRule="auto"/>
        <w:rPr>
          <w:sz w:val="20"/>
          <w:szCs w:val="20"/>
          <w:color w:val="auto"/>
        </w:rPr>
      </w:pPr>
      <w:r>
        <w:rPr>
          <w:rFonts w:ascii="Arial" w:cs="Arial" w:eastAsia="Arial" w:hAnsi="Arial"/>
          <w:sz w:val="18"/>
          <w:szCs w:val="18"/>
          <w:color w:val="auto"/>
        </w:rPr>
        <w:t>In China, the administration of PRC internet domain names is mainly regulated by the MIIT, under supervision of the China Internet Network Information Center, or CNNIC. On August 24, 2017, the MIIT promulgated the Administrative Measures for Internet Domain Names, or the Domain Name Measures, and became effective on November 1, 2017. The principle of “first apply, first register” applies to domain name registration service in accordance with the Domain Name Measures. In the event that there is any change to the contact information of a domain name holder, the holder shall go through formalities for changes to the registered information of its domain name with the domain name registrar concerned within 30 days after such change arises.</w:t>
      </w:r>
    </w:p>
    <w:p>
      <w:pPr>
        <w:spacing w:after="0" w:line="190" w:lineRule="exact"/>
        <w:rPr>
          <w:sz w:val="20"/>
          <w:szCs w:val="20"/>
          <w:color w:val="auto"/>
        </w:rPr>
      </w:pPr>
    </w:p>
    <w:p>
      <w:pPr>
        <w:ind w:left="240" w:right="80" w:firstLine="438"/>
        <w:spacing w:after="0" w:line="255" w:lineRule="auto"/>
        <w:rPr>
          <w:sz w:val="20"/>
          <w:szCs w:val="20"/>
          <w:color w:val="auto"/>
        </w:rPr>
      </w:pPr>
      <w:r>
        <w:rPr>
          <w:rFonts w:ascii="Arial" w:cs="Arial" w:eastAsia="Arial" w:hAnsi="Arial"/>
          <w:sz w:val="18"/>
          <w:szCs w:val="18"/>
          <w:color w:val="auto"/>
        </w:rPr>
        <w:t>According to the Circular of the Ministry of Industry and Information Technology on Regulating the Use of Domain Names in Providing Internet based Information Services issued by the MIIT on November 27, 2017, and became effective on January 1, 2018, an internet access service provider shall, pursuant to requirements stated in the Anti-Terrorism Law of the PRC and the Cybersecurity Law of the PRC, verify the identities of internet-based information service providers, and the internet access service providers shall not provide access services for those who fail to provide their real identity information.</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Patent</w:t>
      </w:r>
    </w:p>
    <w:p>
      <w:pPr>
        <w:spacing w:after="0" w:line="115" w:lineRule="exact"/>
        <w:rPr>
          <w:sz w:val="20"/>
          <w:szCs w:val="20"/>
          <w:color w:val="auto"/>
        </w:rPr>
      </w:pPr>
    </w:p>
    <w:p>
      <w:pPr>
        <w:ind w:left="240" w:right="100" w:firstLine="438"/>
        <w:spacing w:after="0" w:line="290" w:lineRule="auto"/>
        <w:rPr>
          <w:sz w:val="20"/>
          <w:szCs w:val="20"/>
          <w:color w:val="auto"/>
        </w:rPr>
      </w:pPr>
      <w:r>
        <w:rPr>
          <w:rFonts w:ascii="Arial" w:cs="Arial" w:eastAsia="Arial" w:hAnsi="Arial"/>
          <w:sz w:val="16"/>
          <w:szCs w:val="16"/>
          <w:color w:val="auto"/>
        </w:rPr>
        <w:t>The National People’s Congress promulgated the PRC Patent Law in 1984 and amended it in 1992, 2000 and 2008, respectively. Any invention, utility model or design must meet three conditions to be patentable: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State Intellectual Property Office is responsible for receiving, examining and approving patent applications. A patent is valid for a twenty-year term for an invention and a ten-year term for a utility model or design,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on Foreign Exchange</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Foreign currency exchange</w:t>
      </w:r>
    </w:p>
    <w:p>
      <w:pPr>
        <w:spacing w:after="0" w:line="115" w:lineRule="exact"/>
        <w:rPr>
          <w:sz w:val="20"/>
          <w:szCs w:val="20"/>
          <w:color w:val="auto"/>
        </w:rPr>
      </w:pPr>
    </w:p>
    <w:p>
      <w:pPr>
        <w:ind w:left="240" w:right="220" w:firstLine="438"/>
        <w:spacing w:after="0" w:line="262" w:lineRule="auto"/>
        <w:rPr>
          <w:sz w:val="20"/>
          <w:szCs w:val="20"/>
          <w:color w:val="auto"/>
        </w:rPr>
      </w:pPr>
      <w:r>
        <w:rPr>
          <w:rFonts w:ascii="Arial" w:cs="Arial" w:eastAsia="Arial" w:hAnsi="Arial"/>
          <w:sz w:val="18"/>
          <w:szCs w:val="18"/>
          <w:color w:val="auto"/>
        </w:rPr>
        <w:t>The core regulations governing foreign currency exchange in China is the PRC Foreign Exchange Administration Regulation, which was promulgated and became effective in August 2008. Under the PRC Foreign Exchange Administration Regulations, Renminbi is freely convertible for payments of current account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60"/>
          </w:cols>
          <w:pgMar w:left="240" w:top="457"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77" w:lineRule="auto"/>
        <w:rPr>
          <w:sz w:val="20"/>
          <w:szCs w:val="20"/>
          <w:color w:val="auto"/>
        </w:rPr>
      </w:pPr>
      <w:r>
        <w:rPr>
          <w:rFonts w:ascii="Arial" w:cs="Arial" w:eastAsia="Arial" w:hAnsi="Arial"/>
          <w:sz w:val="17"/>
          <w:szCs w:val="17"/>
          <w:color w:val="auto"/>
        </w:rPr>
        <w:t>items, such as distribution of dividends, interest payments and trade and service-related foreign exchange transactions, can be made in foreign currencies without prior approval from SAFE. On the contrast, approval from or registration with appropriate government authorities is required where Renminbi is to convert into foreign currency and remitted out of China to pay capital account items, such as direct investments, repayment of foreign currency-denominated loans, repatriation of investments and investments in securities outside of China.</w:t>
      </w:r>
    </w:p>
    <w:p>
      <w:pPr>
        <w:spacing w:after="0" w:line="172" w:lineRule="exact"/>
        <w:rPr>
          <w:sz w:val="20"/>
          <w:szCs w:val="20"/>
          <w:color w:val="auto"/>
        </w:rPr>
      </w:pPr>
    </w:p>
    <w:p>
      <w:pPr>
        <w:ind w:left="240" w:right="220" w:firstLine="438"/>
        <w:spacing w:after="0" w:line="292" w:lineRule="auto"/>
        <w:rPr>
          <w:sz w:val="20"/>
          <w:szCs w:val="20"/>
          <w:color w:val="auto"/>
        </w:rPr>
      </w:pPr>
      <w:r>
        <w:rPr>
          <w:rFonts w:ascii="Arial" w:cs="Arial" w:eastAsia="Arial" w:hAnsi="Arial"/>
          <w:sz w:val="16"/>
          <w:szCs w:val="16"/>
          <w:color w:val="auto"/>
        </w:rPr>
        <w:t>Pursuant to the Circular of Further Improving and Adjusting Foreign Exchange Administration Policies on Foreign Direct Investment, or the SAFE Circular 59 promulgated by SAFE on November 19, 2012, which became effective on December 17, 2012 and was further amended on May 4, 2015, the opening of various special purpose foreign exchange accounts, such as pre-establishment expenses accounts, foreign exchange capital accounts and guarantee accounts, the reinvestment of Renminbi proceeds by foreign investors in the PRC, and remittance of foreign exchange profits and dividends by a foreign invested enterprise to its foreign shareholders no longer require the approval or verification of SAFE, and multiple capital accounts for the same entity may be opened in different provinces, which was not possible previously.</w:t>
      </w:r>
    </w:p>
    <w:p>
      <w:pPr>
        <w:spacing w:after="0" w:line="161" w:lineRule="exact"/>
        <w:rPr>
          <w:sz w:val="20"/>
          <w:szCs w:val="20"/>
          <w:color w:val="auto"/>
        </w:rPr>
      </w:pPr>
    </w:p>
    <w:p>
      <w:pPr>
        <w:ind w:left="240" w:firstLine="438"/>
        <w:spacing w:after="0" w:line="286" w:lineRule="auto"/>
        <w:rPr>
          <w:sz w:val="20"/>
          <w:szCs w:val="20"/>
          <w:color w:val="auto"/>
        </w:rPr>
      </w:pPr>
      <w:r>
        <w:rPr>
          <w:rFonts w:ascii="Arial" w:cs="Arial" w:eastAsia="Arial" w:hAnsi="Arial"/>
          <w:sz w:val="16"/>
          <w:szCs w:val="16"/>
          <w:color w:val="auto"/>
        </w:rPr>
        <w:t>SAFE promulgated the Notice of the State Administration of Foreign Exchange on Reforming the Administration of Foreign Exchange Settlement of Capital of Foreign-invested Enterprises, or SAFE Circular 19, effective on June 1, 2015, in replacement of the Circular on the Relevant Operating Issues Concerning the Improvement of the Administration of the Payment and Settlement of Foreign Currency Capital of Foreign – Invested Enterprises. According to SAFE Circular 19, foreign-invested enterprises are allowed, within the scope of business, to settle their foreign exchange capital in their capital accounts, for which the relevant foreign exchange bureau has confirmed monetary capital contribution rights and interests (or for which the bank has registered the injection of the monetary capital contribution into the accounts), on a discretionary basis according to the actual needs of their business operation. SAFE promulgated the Notice of the State Administration of Foreign Exchange on Reforming and Standardizing the Foreign Exchange Settlement Management Policy of Capital Account, or SAFE Circular 16, which became effective in June 2016. SAFE Circular 19 and SAFE Circular 16 prohibit foreign-invested enterprises from using Renminbi fund converted from their foreign exchange capitals for expenditure beyond their business scopes, providing entrusted loans or repaying loans between non-financial enterprises.</w:t>
      </w:r>
    </w:p>
    <w:p>
      <w:pPr>
        <w:spacing w:after="0" w:line="171" w:lineRule="exact"/>
        <w:rPr>
          <w:sz w:val="20"/>
          <w:szCs w:val="20"/>
          <w:color w:val="auto"/>
        </w:rPr>
      </w:pPr>
    </w:p>
    <w:p>
      <w:pPr>
        <w:ind w:left="240" w:firstLine="438"/>
        <w:spacing w:after="0" w:line="253" w:lineRule="auto"/>
        <w:rPr>
          <w:sz w:val="20"/>
          <w:szCs w:val="20"/>
          <w:color w:val="auto"/>
        </w:rPr>
      </w:pPr>
      <w:r>
        <w:rPr>
          <w:rFonts w:ascii="Arial" w:cs="Arial" w:eastAsia="Arial" w:hAnsi="Arial"/>
          <w:sz w:val="18"/>
          <w:szCs w:val="18"/>
          <w:color w:val="auto"/>
        </w:rPr>
        <w:t>In January 2017, SAFE promulgated the Circular on Further Improving Reform of Foreign Exchange Administration and Optimizing Genuineness and Compliance Verification, or SAFE Circular 3, which stipulates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Further, according to SAFE Circular 3, domestic entities shall make detailed explanations of the sources of capital and utilization arrangements, and provide board resolutions, contracts and other proof when completing the registration procedures in connection with an outbound investment.</w:t>
      </w:r>
    </w:p>
    <w:p>
      <w:pPr>
        <w:spacing w:after="0" w:line="29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Foreign Debt</w:t>
      </w:r>
    </w:p>
    <w:p>
      <w:pPr>
        <w:spacing w:after="0" w:line="115" w:lineRule="exact"/>
        <w:rPr>
          <w:sz w:val="20"/>
          <w:szCs w:val="20"/>
          <w:color w:val="auto"/>
        </w:rPr>
      </w:pPr>
    </w:p>
    <w:p>
      <w:pPr>
        <w:ind w:left="240" w:right="60" w:firstLine="438"/>
        <w:spacing w:after="0" w:line="269" w:lineRule="auto"/>
        <w:rPr>
          <w:sz w:val="20"/>
          <w:szCs w:val="20"/>
          <w:color w:val="auto"/>
        </w:rPr>
      </w:pPr>
      <w:r>
        <w:rPr>
          <w:rFonts w:ascii="Arial" w:cs="Arial" w:eastAsia="Arial" w:hAnsi="Arial"/>
          <w:sz w:val="17"/>
          <w:szCs w:val="17"/>
          <w:color w:val="auto"/>
        </w:rPr>
        <w:t>On April 28, 2013, SAFE promulgated the Administrative Measures for Foreign Debt Registration and further updated it on April 26, 2016, and June 9, 2016, respectively. Loans made by foreign investors as shareholders in foreign invested enterprises established in China are considered to be foreign debts and shall be regulated by the Administrative Measures for Foreign Debt Registration. The definition of the registration of foreign debt under the Foreign Debt Measures include debtors’ registration or submission of information on execution of foreign debt contract, withdrawal of funds, repayment of foreign debt and foreign exchange settlement and sale to the local foreign exchange bureau in accordance with the stipulated method upon borrowing of foreign debt pursuant to the applicable rules. Different methods for registration of foreign debt shall be implemented for different types of debtors. In addition, the Foreign Debt Measures requires, in the event of change of foreign debt loan contract, the debtor shall complete registration change formalities for execution of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240" w:top="457"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240"/>
        <w:spacing w:after="0" w:line="262" w:lineRule="auto"/>
        <w:rPr>
          <w:sz w:val="20"/>
          <w:szCs w:val="20"/>
          <w:color w:val="auto"/>
        </w:rPr>
      </w:pPr>
      <w:r>
        <w:rPr>
          <w:rFonts w:ascii="Arial" w:cs="Arial" w:eastAsia="Arial" w:hAnsi="Arial"/>
          <w:sz w:val="18"/>
          <w:szCs w:val="18"/>
          <w:color w:val="auto"/>
        </w:rPr>
        <w:t>foreign debt contract with the foreign exchange bureau pursuant to the applicable rules. Where the outstanding balance of foreign debt is zero and the debtor will not make another withdrawal of funds, the debtor shall complete foreign debt deregistration formalities with the foreign exchange bureau pursuant to the applicable rules.</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Dividend distribution</w:t>
      </w:r>
    </w:p>
    <w:p>
      <w:pPr>
        <w:spacing w:after="0" w:line="115" w:lineRule="exact"/>
        <w:rPr>
          <w:sz w:val="20"/>
          <w:szCs w:val="20"/>
          <w:color w:val="auto"/>
        </w:rPr>
      </w:pPr>
    </w:p>
    <w:p>
      <w:pPr>
        <w:jc w:val="both"/>
        <w:ind w:left="240" w:right="520" w:firstLine="438"/>
        <w:spacing w:after="0" w:line="262" w:lineRule="auto"/>
        <w:rPr>
          <w:sz w:val="20"/>
          <w:szCs w:val="20"/>
          <w:color w:val="auto"/>
        </w:rPr>
      </w:pPr>
      <w:r>
        <w:rPr>
          <w:rFonts w:ascii="Arial" w:cs="Arial" w:eastAsia="Arial" w:hAnsi="Arial"/>
          <w:sz w:val="18"/>
          <w:szCs w:val="18"/>
          <w:color w:val="auto"/>
        </w:rPr>
        <w:t>Wholly Foreign-Owned Enterprise Law of the People’s Republic of China was promulgated by SCNPC on September 3, 2016 and became effective on October 1, 2016. Detailed Implementing Rules for the “Wholly Foreign-Owned Enterprise Law of the People’s Republic China” was promulgated by State Council on February 19, 2014.</w:t>
      </w:r>
    </w:p>
    <w:p>
      <w:pPr>
        <w:spacing w:after="0" w:line="181" w:lineRule="exact"/>
        <w:rPr>
          <w:sz w:val="20"/>
          <w:szCs w:val="20"/>
          <w:color w:val="auto"/>
        </w:rPr>
      </w:pPr>
    </w:p>
    <w:p>
      <w:pPr>
        <w:ind w:left="240" w:firstLine="438"/>
        <w:spacing w:after="0" w:line="292" w:lineRule="auto"/>
        <w:rPr>
          <w:sz w:val="20"/>
          <w:szCs w:val="20"/>
          <w:color w:val="auto"/>
        </w:rPr>
      </w:pPr>
      <w:r>
        <w:rPr>
          <w:rFonts w:ascii="Arial" w:cs="Arial" w:eastAsia="Arial" w:hAnsi="Arial"/>
          <w:sz w:val="16"/>
          <w:szCs w:val="16"/>
          <w:color w:val="auto"/>
        </w:rPr>
        <w:t>Pursuant to these regulations, a wholly foreign-owned enterprise in China, or a WFOE, may pay dividends only out of its accumulated profits, if any, determined in accordance with PRC accounting standards and regulations. In addition, a WFOE is required to allocate at least 10% of its accumulated profits each year, if any, to statutory reserve funds unless its reserves have reached 50% of the registered capital of the enterprises. These reserves are not distributable as cash dividends. The proportional ratio for withdrawal of rewards and welfare funds for employees shall be determined at the discretion of the WFOE. Profits of a WFOE shall not be distributed before the losses thereof before the previous accounting years have been made up. Any undistributed profit for the previous accounting years may be distributed together with the distributable profit for the current accounting year.</w:t>
      </w:r>
    </w:p>
    <w:p>
      <w:pPr>
        <w:spacing w:after="0" w:line="26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Foreign Exchange Registration of Overseas Investment by PRC Residents</w:t>
      </w:r>
    </w:p>
    <w:p>
      <w:pPr>
        <w:spacing w:after="0" w:line="115" w:lineRule="exact"/>
        <w:rPr>
          <w:sz w:val="20"/>
          <w:szCs w:val="20"/>
          <w:color w:val="auto"/>
        </w:rPr>
      </w:pPr>
    </w:p>
    <w:p>
      <w:pPr>
        <w:ind w:left="240" w:right="120" w:firstLine="438"/>
        <w:spacing w:after="0" w:line="290" w:lineRule="auto"/>
        <w:rPr>
          <w:sz w:val="20"/>
          <w:szCs w:val="20"/>
          <w:color w:val="auto"/>
        </w:rPr>
      </w:pPr>
      <w:r>
        <w:rPr>
          <w:rFonts w:ascii="Arial" w:cs="Arial" w:eastAsia="Arial" w:hAnsi="Arial"/>
          <w:sz w:val="16"/>
          <w:szCs w:val="16"/>
          <w:color w:val="auto"/>
        </w:rPr>
        <w:t>Pursuant to the Circular on Relevant Issues Concerning Foreign Exchange Control on Domestic Residents’ Offshore Investment and Financing and Roundtrip Investment through Special Purpose Vehicles, or SAFE Circular 37, which was issued and became effective on July 4, 2014, PRC residents, including PRC institutions and individuals, are required to register with local branches of SAFE in connection with their direct establishment or indirect control of an offshore entity, for the purpose of overseas investment and financing, with such PRC residents’ legally owned assets or equity interest in domestic enterprises or offshore assets or interests, referred to in SAFE Circular 37 as a “special purpose vehicle.” SAFE Circular 37 further requires amendment to the registration in the event of any significant changes with respect to the special purpose vehicle, including but not limited to increase or decrease of capital contributed by PRC individuals, share transfer or exchange, merger, division or other material event.</w:t>
      </w:r>
    </w:p>
    <w:p>
      <w:pPr>
        <w:spacing w:after="0" w:line="162" w:lineRule="exact"/>
        <w:rPr>
          <w:sz w:val="20"/>
          <w:szCs w:val="20"/>
          <w:color w:val="auto"/>
        </w:rPr>
      </w:pPr>
    </w:p>
    <w:p>
      <w:pPr>
        <w:ind w:left="240" w:right="60" w:firstLine="438"/>
        <w:spacing w:after="0" w:line="284" w:lineRule="auto"/>
        <w:rPr>
          <w:sz w:val="20"/>
          <w:szCs w:val="20"/>
          <w:color w:val="auto"/>
        </w:rPr>
      </w:pPr>
      <w:r>
        <w:rPr>
          <w:rFonts w:ascii="Arial" w:cs="Arial" w:eastAsia="Arial" w:hAnsi="Arial"/>
          <w:sz w:val="16"/>
          <w:szCs w:val="16"/>
          <w:color w:val="auto"/>
        </w:rPr>
        <w:t>In the event that a PRC shareholder holding interests in a special purpose vehicle fails to fulfill the required SAFE registration, the PRC subsidiaries of that special purpose vehicle may be prohibited from making distributions of profit to the offshore parent and from carrying out subsequent cross-border foreign exchange activities and the special purpose vehicle may be restricted in their ability to contribute additional capital into its PRC subsidiary. And, failure to comply with the various SAFE registration requirements described above could result in liability under PRC law for foreign exchange evasion, including (i) of up to 30% of the total amount of foreign exchange remitted overseas and deemed to have been evasive, and</w:t>
      </w:r>
    </w:p>
    <w:p>
      <w:pPr>
        <w:ind w:left="240" w:right="40" w:hanging="4"/>
        <w:spacing w:after="0" w:line="253" w:lineRule="auto"/>
        <w:tabs>
          <w:tab w:leader="none" w:pos="50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circumstances involving serious violations, a fine of no less than 30% of and up to the total amount of remitted foreign exchange deemed evasive. Furthermore, the persons-in-charge and other persons at our PRC subsidiaries who are held directly liable for the violations may be subject to criminal sanctions.</w:t>
      </w:r>
    </w:p>
    <w:p>
      <w:pPr>
        <w:spacing w:after="0" w:line="190" w:lineRule="exact"/>
        <w:rPr>
          <w:sz w:val="20"/>
          <w:szCs w:val="20"/>
          <w:color w:val="auto"/>
        </w:rPr>
      </w:pPr>
    </w:p>
    <w:p>
      <w:pPr>
        <w:ind w:left="240" w:right="80" w:firstLine="438"/>
        <w:spacing w:after="0" w:line="274" w:lineRule="auto"/>
        <w:rPr>
          <w:sz w:val="20"/>
          <w:szCs w:val="20"/>
          <w:color w:val="auto"/>
        </w:rPr>
      </w:pPr>
      <w:r>
        <w:rPr>
          <w:rFonts w:ascii="Arial" w:cs="Arial" w:eastAsia="Arial" w:hAnsi="Arial"/>
          <w:sz w:val="17"/>
          <w:szCs w:val="17"/>
          <w:color w:val="auto"/>
        </w:rPr>
        <w:t>In February 2015, SAFE promulgated the Circular of Further Simplifying and Improving the Policies of Foreign Exchange Administration Applicable to Direct Investment, or SAFE Circular 13, which became effective on June 1, 2015. The SAFE Circular 13 cancels the administrative approval requirements of foreign exchange registration of foreign direct investment and overseas direct investment, and simplifies the procedure of foreign exchange-related registration, and foreign exchange registrations of foreign direct investment and overseas direct investment will be handled by the banks designated by the foreign exchange authority instead of SAFE and its branches.</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80"/>
          </w:cols>
          <w:pgMar w:left="240" w:top="457"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80" w:firstLine="438"/>
        <w:spacing w:after="0" w:line="288" w:lineRule="auto"/>
        <w:rPr>
          <w:sz w:val="20"/>
          <w:szCs w:val="20"/>
          <w:color w:val="auto"/>
        </w:rPr>
      </w:pPr>
      <w:r>
        <w:rPr>
          <w:rFonts w:ascii="Arial" w:cs="Arial" w:eastAsia="Arial" w:hAnsi="Arial"/>
          <w:sz w:val="16"/>
          <w:szCs w:val="16"/>
          <w:color w:val="auto"/>
        </w:rPr>
        <w:t>As of the date of this prospectus, Mr. Leaf Hua Li has completed the SAFE registration pursuant to SAFE Circular 37 and is planning to update the registration with respect to the capital of the offshore company. We have notified substantial beneficial owners of ordinary shares who we know are PRC residents of their filing obligation. Nevertheless, we may not be aware of the identities of all of our beneficial owners who are PRC residents. We do not have control over our beneficial owners and there can be no assurance that all of our PRC-resident beneficial owners will comply with SAFE Circular 37 and subsequent implementation rules, and there is no assurance that the registration under SAFE Circular 37 and any amendment will be completed in a timely manner, or will be completed at all. See “Risk Factors—Risks Related to Doing Business in China—PRC regulations relating to investments in offshore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27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Employee Share Incentive Plans of Overseas Publicly-Listed Company</w:t>
      </w:r>
    </w:p>
    <w:p>
      <w:pPr>
        <w:spacing w:after="0" w:line="115" w:lineRule="exact"/>
        <w:rPr>
          <w:sz w:val="20"/>
          <w:szCs w:val="20"/>
          <w:color w:val="auto"/>
        </w:rPr>
      </w:pPr>
    </w:p>
    <w:p>
      <w:pPr>
        <w:ind w:left="240" w:right="100" w:firstLine="438"/>
        <w:spacing w:after="0" w:line="270" w:lineRule="auto"/>
        <w:rPr>
          <w:sz w:val="20"/>
          <w:szCs w:val="20"/>
          <w:color w:val="auto"/>
        </w:rPr>
      </w:pPr>
      <w:r>
        <w:rPr>
          <w:rFonts w:ascii="Arial" w:cs="Arial" w:eastAsia="Arial" w:hAnsi="Arial"/>
          <w:sz w:val="17"/>
          <w:szCs w:val="17"/>
          <w:color w:val="auto"/>
        </w:rPr>
        <w:t>In February 2012, SAFE promulgated the Notice on Issues Concerning the Foreign Exchange Administration for Domestic Individuals Participation in Share Incentive Plan of Companies Listed Overseas, or the 2012 SAFE Notice. Under such notice and other relevant rules and regulations, PRC residents, including PRC citizens or non-PRC citizens who reside in China for a continuous period of not less than one year, that participate in any share incentive plan of any overseas publicly-listed company are required to register with SAFE or its local branches and complete certain other procedures. Participants of a share incentive plan who are PRC residents must retain a qualified PRC agent, which could be a PRC subsidiary of the overseas publicly listed company or another qualified institution selected by the PRC subsidiary, to conduct the SAFE registration and other procedures with respect to the share incentive plan on behalf of the participants.</w:t>
      </w:r>
    </w:p>
    <w:p>
      <w:pPr>
        <w:spacing w:after="0" w:line="179" w:lineRule="exact"/>
        <w:rPr>
          <w:sz w:val="20"/>
          <w:szCs w:val="20"/>
          <w:color w:val="auto"/>
        </w:rPr>
      </w:pPr>
    </w:p>
    <w:p>
      <w:pPr>
        <w:jc w:val="both"/>
        <w:ind w:left="240" w:right="140" w:firstLine="438"/>
        <w:spacing w:after="0" w:line="262" w:lineRule="auto"/>
        <w:rPr>
          <w:sz w:val="20"/>
          <w:szCs w:val="20"/>
          <w:color w:val="auto"/>
        </w:rPr>
      </w:pPr>
      <w:r>
        <w:rPr>
          <w:rFonts w:ascii="Arial" w:cs="Arial" w:eastAsia="Arial" w:hAnsi="Arial"/>
          <w:sz w:val="18"/>
          <w:szCs w:val="18"/>
          <w:color w:val="auto"/>
        </w:rPr>
        <w:t>We and our executive officers and other employees who are PRC residents that have been granted share incentive awards will be subject to these regulations upon the completion of this offering. Failure by these individuals to complete their SAFE registrations may subject such individuals and us to fines and other legal sanctions.</w:t>
      </w:r>
    </w:p>
    <w:p>
      <w:pPr>
        <w:spacing w:after="0" w:line="181" w:lineRule="exact"/>
        <w:rPr>
          <w:sz w:val="20"/>
          <w:szCs w:val="20"/>
          <w:color w:val="auto"/>
        </w:rPr>
      </w:pPr>
    </w:p>
    <w:p>
      <w:pPr>
        <w:ind w:left="240" w:right="20" w:firstLine="438"/>
        <w:spacing w:after="0" w:line="295" w:lineRule="auto"/>
        <w:rPr>
          <w:sz w:val="20"/>
          <w:szCs w:val="20"/>
          <w:color w:val="auto"/>
        </w:rPr>
      </w:pPr>
      <w:r>
        <w:rPr>
          <w:rFonts w:ascii="Arial" w:cs="Arial" w:eastAsia="Arial" w:hAnsi="Arial"/>
          <w:sz w:val="16"/>
          <w:szCs w:val="16"/>
          <w:color w:val="auto"/>
        </w:rPr>
        <w:t>In addition, the State Administration of Taxation, or the SAT, has issued certain circulars concerning employee share incentive awards. Under these circulars, our employees working in China who exercise share incentive awards will be subject to PRC individual income tax. Our PRC subsidiary has the obligation to make filings related to employee share incentive awards with relevant tax authorities and to withhold individual income taxes of those employees who exercise their share incentive awards. If our employees fail to pay or we fail to withhold their income taxes according to relevant laws and regulations, we may face sanctions imposed by the tax authorities or other PRC governmental authorities.</w:t>
      </w:r>
    </w:p>
    <w:p>
      <w:pPr>
        <w:spacing w:after="0" w:line="266"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M&amp;A</w:t>
      </w:r>
    </w:p>
    <w:p>
      <w:pPr>
        <w:spacing w:after="0" w:line="115"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Six PRC regulatory agencies, including the CSRC, jointly issued the Regulations on Mergers and Acquisitions of Domestic Enterprises by Foreign Investors, or the M&amp;A Rules, which became effective in September 2006 and was amended in June 2009. The M&amp;A Rules, among other things, require offshore special purpose vehicles, formed for overseas listing purposes through acquisitions of PRC domestic companies and controlled by PRC companies or individuals, must obtain approval from the CSRC prior to publicly listing such special purpose vehicle’s securities on an overseas stock exchange.</w:t>
      </w:r>
    </w:p>
    <w:p>
      <w:pPr>
        <w:spacing w:after="0" w:line="189" w:lineRule="exact"/>
        <w:rPr>
          <w:sz w:val="20"/>
          <w:szCs w:val="20"/>
          <w:color w:val="auto"/>
        </w:rPr>
      </w:pPr>
    </w:p>
    <w:p>
      <w:pPr>
        <w:ind w:left="240" w:right="120" w:firstLine="438"/>
        <w:spacing w:after="0" w:line="255" w:lineRule="auto"/>
        <w:rPr>
          <w:sz w:val="20"/>
          <w:szCs w:val="20"/>
          <w:color w:val="auto"/>
        </w:rPr>
      </w:pPr>
      <w:r>
        <w:rPr>
          <w:rFonts w:ascii="Arial" w:cs="Arial" w:eastAsia="Arial" w:hAnsi="Arial"/>
          <w:sz w:val="18"/>
          <w:szCs w:val="18"/>
          <w:color w:val="auto"/>
        </w:rPr>
        <w:t>While the application of the M&amp;A Rules remains unclear, we believe, based on the advice of our PRC counsel, CM Law Firm, that CSRC approval is not required in the context of this offering because: (a) we established our PRC subsidiary, Shensi Network Technology (Beijing) Co., Ltd., by means of direct investment rather than by merger with or acquisition of PRC domestic companies as defined in the M&amp;A Rules, and (b) no explicit provision in the M&amp;A Rules that classifies the respective contractual arrangements between Shensi Network Technology (Beijing) Co., Ltd., Shenzhen Futu Network Technology Co., Ltd. and its shareholders as a</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58"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340"/>
        <w:spacing w:after="0" w:line="275" w:lineRule="auto"/>
        <w:rPr>
          <w:sz w:val="20"/>
          <w:szCs w:val="20"/>
          <w:color w:val="auto"/>
        </w:rPr>
      </w:pPr>
      <w:r>
        <w:rPr>
          <w:rFonts w:ascii="Arial" w:cs="Arial" w:eastAsia="Arial" w:hAnsi="Arial"/>
          <w:sz w:val="18"/>
          <w:szCs w:val="18"/>
          <w:color w:val="auto"/>
        </w:rPr>
        <w:t>type of acquisition under the M&amp;A Rules. However, as there has been no official interpretation or clarification of the M&amp;A Rules and there remains uncertainty as to the implementation of such regulation.</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on Tax</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Enterprise Income Tax</w:t>
      </w:r>
    </w:p>
    <w:p>
      <w:pPr>
        <w:spacing w:after="0" w:line="115" w:lineRule="exact"/>
        <w:rPr>
          <w:sz w:val="20"/>
          <w:szCs w:val="20"/>
          <w:color w:val="auto"/>
        </w:rPr>
      </w:pPr>
    </w:p>
    <w:p>
      <w:pPr>
        <w:ind w:left="240" w:right="140" w:firstLine="438"/>
        <w:spacing w:after="0" w:line="275" w:lineRule="auto"/>
        <w:rPr>
          <w:sz w:val="20"/>
          <w:szCs w:val="20"/>
          <w:color w:val="auto"/>
        </w:rPr>
      </w:pPr>
      <w:r>
        <w:rPr>
          <w:rFonts w:ascii="Arial" w:cs="Arial" w:eastAsia="Arial" w:hAnsi="Arial"/>
          <w:sz w:val="18"/>
          <w:szCs w:val="18"/>
          <w:color w:val="auto"/>
        </w:rPr>
        <w:t>On March 16, 2007, the National People’s Congress promulgated the Enterprise Income Tax Law of the PRC, which was most recently amended on February 24, 2017.</w:t>
      </w:r>
    </w:p>
    <w:p>
      <w:pPr>
        <w:spacing w:after="0" w:line="170" w:lineRule="exact"/>
        <w:rPr>
          <w:sz w:val="20"/>
          <w:szCs w:val="20"/>
          <w:color w:val="auto"/>
        </w:rPr>
      </w:pPr>
    </w:p>
    <w:p>
      <w:pPr>
        <w:ind w:left="240" w:right="60" w:firstLine="438"/>
        <w:spacing w:after="0" w:line="268" w:lineRule="auto"/>
        <w:rPr>
          <w:sz w:val="20"/>
          <w:szCs w:val="20"/>
          <w:color w:val="auto"/>
        </w:rPr>
      </w:pPr>
      <w:r>
        <w:rPr>
          <w:rFonts w:ascii="Arial" w:cs="Arial" w:eastAsia="Arial" w:hAnsi="Arial"/>
          <w:sz w:val="17"/>
          <w:szCs w:val="17"/>
          <w:color w:val="auto"/>
        </w:rPr>
        <w:t>On December 6, 2007, the State Council enacted the Regulations for the Implementation of the Enterprise Income Tax Law, or collectively with the Enterprise Income Tax Law of the PRC, the EIT Laws. Under the EIT Laws,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Laws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288"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Value-added Tax</w:t>
      </w:r>
    </w:p>
    <w:p>
      <w:pPr>
        <w:spacing w:after="0" w:line="115" w:lineRule="exact"/>
        <w:rPr>
          <w:sz w:val="20"/>
          <w:szCs w:val="20"/>
          <w:color w:val="auto"/>
        </w:rPr>
      </w:pPr>
    </w:p>
    <w:p>
      <w:pPr>
        <w:ind w:left="240" w:right="140" w:firstLine="438"/>
        <w:spacing w:after="0" w:line="287" w:lineRule="auto"/>
        <w:rPr>
          <w:sz w:val="20"/>
          <w:szCs w:val="20"/>
          <w:color w:val="auto"/>
        </w:rPr>
      </w:pPr>
      <w:r>
        <w:rPr>
          <w:rFonts w:ascii="Arial" w:cs="Arial" w:eastAsia="Arial" w:hAnsi="Arial"/>
          <w:sz w:val="16"/>
          <w:szCs w:val="16"/>
          <w:color w:val="auto"/>
        </w:rPr>
        <w:t>The Provisional Regulations of on Value-added Tax of the PRC were promulgated by the State Council on December 13, 1993 and came into effect on January 1, 1994 which most recently amended on November 19, 2017. The Detailed Rules for the Implementation of Provisional Regulations of on Value-added Tax of the PRC were promulgated by the Ministry of Finance on December 25, 1993 and subsequently amended on December 15, 2008 and October 28, 2011. Based on the Provisional Regulations of on Value-added Tax of the PRC and the Detailed Rules for the Implementation of Provisional Regulations of on Value-added Tax of the PRC, the State Council promulgated the Order on Abolishing the Provisional Regulations of the PRC on Business Tax and Amending the Provisional Regulations of on Value-added Tax of the PRC, pursuant to which all enterprises and individuals engaged in the sale of goods, the provision of processing, repair and replacement services, sales of services, intangible assets, real property and the importation of goods within the territory of the PRC are the taxpayers of Value-added Tax. The Value-added Tax rates generally applicable are simplified as 17%, 11%, 6% and 0%, and the Value-added Tax rate applicable to the small-scale taxpayers is 3%.</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On April 4, 2018, the Ministry of Finance and the SAT issued the Circular on Adjustment of Value-added Tax Rates. According to which relevant</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Value-added Tax rates have been reduced from May 1, 2018, such as the deduction rates of 17% and 11% applicable to the taxpayers who have Value-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Added taxable sales activities or imported goods have been adjusted to 16% and 10%, respectively.</w:t>
      </w:r>
    </w:p>
    <w:p>
      <w:pPr>
        <w:spacing w:after="0" w:line="20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the date of this prospectus, our PRC subsidiaries and consolidated affiliated entities are generally subject to VAT rates of 6%.</w:t>
      </w:r>
    </w:p>
    <w:p>
      <w:pPr>
        <w:spacing w:after="0" w:line="33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Dividend Withholding Tax</w:t>
      </w:r>
    </w:p>
    <w:p>
      <w:pPr>
        <w:spacing w:after="0" w:line="115"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color w:val="auto"/>
        </w:rPr>
        <w:t>The EIT Laws provide that since January 1, 2008, an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80"/>
          </w:cols>
          <w:pgMar w:left="240" w:top="457"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 w:firstLine="438"/>
        <w:spacing w:after="0" w:line="282" w:lineRule="auto"/>
        <w:rPr>
          <w:sz w:val="20"/>
          <w:szCs w:val="20"/>
          <w:color w:val="auto"/>
        </w:rPr>
      </w:pPr>
      <w:r>
        <w:rPr>
          <w:rFonts w:ascii="Arial" w:cs="Arial" w:eastAsia="Arial" w:hAnsi="Arial"/>
          <w:sz w:val="16"/>
          <w:szCs w:val="16"/>
          <w:color w:val="auto"/>
        </w:rPr>
        <w:t>Pursuant to an Arrangement Between the Mainland of China and the Hong Kong Special Administrative Region for the Avoidance of Double Taxation and the Prevention of Fiscal Evasion with Respect to Taxes on Incomes,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or the SAT Circular 81, issued on February 20, 2009 by the SAT, if the relevant PRC tax authorities determine, in their discretions, that a company benefits from such reduced income tax rate due to a structure or arrangement that is primarily tax-driven, such PRC tax authorities may adjust the preferential tax treatment. According to the Circular on Several Questions regarding the “Beneficial Owner” in Tax Treaties, which was issued on February 3, 2018 by the SAT and effective on April 1, 2018, when determining the applicant’s status of the “beneficial owner” regarding tax treatments in connection with dividends, interests or royalties in the tax treaties, several factors apply, including without limitation:</w:t>
      </w:r>
    </w:p>
    <w:p>
      <w:pPr>
        <w:spacing w:after="0" w:line="1" w:lineRule="exact"/>
        <w:rPr>
          <w:sz w:val="20"/>
          <w:szCs w:val="20"/>
          <w:color w:val="auto"/>
        </w:rPr>
      </w:pPr>
    </w:p>
    <w:p>
      <w:pPr>
        <w:ind w:left="240" w:hanging="4"/>
        <w:spacing w:after="0" w:line="268" w:lineRule="auto"/>
        <w:tabs>
          <w:tab w:leader="none" w:pos="454" w:val="left"/>
        </w:tabs>
        <w:numPr>
          <w:ilvl w:val="0"/>
          <w:numId w:val="80"/>
        </w:numPr>
        <w:rPr>
          <w:rFonts w:ascii="Arial" w:cs="Arial" w:eastAsia="Arial" w:hAnsi="Arial"/>
          <w:sz w:val="17"/>
          <w:szCs w:val="17"/>
          <w:color w:val="auto"/>
        </w:rPr>
      </w:pPr>
      <w:r>
        <w:rPr>
          <w:rFonts w:ascii="Arial" w:cs="Arial" w:eastAsia="Arial" w:hAnsi="Arial"/>
          <w:sz w:val="17"/>
          <w:szCs w:val="17"/>
          <w:color w:val="auto"/>
        </w:rPr>
        <w:t>whether the applicant is obligated to pay more than 50% of his or her income in twelve months to residents in third country or region, (ii) whether the business operated by the applicant constitutes the actual business activities, and (iii) whether the counterparty country or region to the tax treaties levies any tax or grant tax exemption on relevant incomes or levies tax at an extremely low rate, will be taken into account, and it will be analyzed according to the actual circumstances of the specific cases. This circular further provides that applicants who intend to prove his or her status of the “beneficial owner” shall submit the relevant documents to the relevant tax bureau according to the Announcement on Issuing the Measures for the Administration of Non-Resident Taxpayers’ Enjoyment of the Treatment under Tax Agreements.</w:t>
      </w:r>
    </w:p>
    <w:p>
      <w:pPr>
        <w:spacing w:after="0" w:line="28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Tax regarding Indirect Transfer</w:t>
      </w:r>
    </w:p>
    <w:p>
      <w:pPr>
        <w:spacing w:after="0" w:line="115" w:lineRule="exact"/>
        <w:rPr>
          <w:sz w:val="20"/>
          <w:szCs w:val="20"/>
          <w:color w:val="auto"/>
        </w:rPr>
      </w:pPr>
    </w:p>
    <w:p>
      <w:pPr>
        <w:ind w:left="240" w:right="40" w:firstLine="438"/>
        <w:spacing w:after="0" w:line="284" w:lineRule="auto"/>
        <w:rPr>
          <w:sz w:val="20"/>
          <w:szCs w:val="20"/>
          <w:color w:val="auto"/>
        </w:rPr>
      </w:pPr>
      <w:r>
        <w:rPr>
          <w:rFonts w:ascii="Arial" w:cs="Arial" w:eastAsia="Arial" w:hAnsi="Arial"/>
          <w:sz w:val="16"/>
          <w:szCs w:val="16"/>
          <w:color w:val="auto"/>
        </w:rPr>
        <w:t>On February 3, 2015, the SAT issued the Circular on Issues of Enterprise Income Tax on Indirect Transfers of Assets by Non-PRC Resident Enterprises, or Circular 7. Pursuant to Circular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considerations include, inter alia, (i) whether the main value of the equity interest of the relevant offshore enterprise derives directly or indirectly from PRC taxable assets; (ii) whether the assets of the relevant offshore enterprise mainly consists of direct or indirect investment in China or if its income is mainly derived from China; and (iii) whether the offshore enterprise and its subsidiaries directly or indirectly holding PRC taxable assets have real commercial nature evidenced by their actual function and risk exposure. According to the Circular 7, where the payer fails to withhold any or sufficient tax, the transferor shall declare and pay such tax to the tax authority by itself within the statutory time limit. Late payment of applicable tax will subject the transferor to default interest. The Circular 7 does not apply to transactions of sale of shares by investors through a public stock exchange where such shares were acquired on a public stock exchange. On October 17, 2017, the SAT issued the Circular on Issues of Tax Withholding regarding Non-PRC Resident Enterprise Income Tax, or SAT Circular 37, which further elaborates the relevant implemental rules regarding the calculation, reporting and payment obligations of the withholding tax by the non-resident enterprises. Nonetheless, there remain uncertainties as to the interpretation and application of the SAT Circular 7. The SAT Circular 7 may be determined by the tax authorities to be applicable to our offshore transactions or sale of our shares or those of our offshore subsidiaries where non-resident enterprises, being the transferors, were involved.</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240" w:top="457"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on Employment and Social Welfare</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Employment</w:t>
      </w:r>
    </w:p>
    <w:p>
      <w:pPr>
        <w:spacing w:after="0" w:line="115" w:lineRule="exact"/>
        <w:rPr>
          <w:sz w:val="20"/>
          <w:szCs w:val="20"/>
          <w:color w:val="auto"/>
        </w:rPr>
      </w:pPr>
    </w:p>
    <w:p>
      <w:pPr>
        <w:ind w:left="240" w:right="40" w:firstLine="438"/>
        <w:spacing w:after="0" w:line="277" w:lineRule="auto"/>
        <w:rPr>
          <w:sz w:val="20"/>
          <w:szCs w:val="20"/>
          <w:color w:val="auto"/>
        </w:rPr>
      </w:pPr>
      <w:r>
        <w:rPr>
          <w:rFonts w:ascii="Arial" w:cs="Arial" w:eastAsia="Arial" w:hAnsi="Arial"/>
          <w:sz w:val="17"/>
          <w:szCs w:val="17"/>
          <w:color w:val="auto"/>
        </w:rPr>
        <w:t>The principle regulations that govern employment and labor matters in PRC include: (i) Labor Law of the PRC, which was promulgated by the SCNPC on July 5, 1994, and became effective on January 1, 1995 and amended on August 27, 2009; (ii) the Implementing Regulations of the Labor Contract Law of the PRC which was promulgated by the State Council on September 18, 2008; and (iii) the Labor Contract Law of the PRC which was promulgated by the SCNPC on December 28, 2012 and became effective on July 1, 2013.</w:t>
      </w:r>
    </w:p>
    <w:p>
      <w:pPr>
        <w:spacing w:after="0" w:line="172"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According to the regulations above, labor relationships between employers and employees must be executed in written form, and wages shall not be lower than local standards on minimum wages and shall be paid to employees timely. In addition, all employers are required to establish a system for labor safety and sanitation, strictly comply with state rules and standards and provide employees with workplace safety training. Violations of the PRC Labor Contract Law and the PRC Labor Law may result in the imposition of fines and other administrative penalties. For serious violations, criminal liability may arise.</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Regulations on Social Welfare</w:t>
      </w:r>
    </w:p>
    <w:p>
      <w:pPr>
        <w:spacing w:after="0" w:line="115" w:lineRule="exact"/>
        <w:rPr>
          <w:sz w:val="20"/>
          <w:szCs w:val="20"/>
          <w:color w:val="auto"/>
        </w:rPr>
      </w:pPr>
    </w:p>
    <w:p>
      <w:pPr>
        <w:ind w:left="240" w:firstLine="438"/>
        <w:spacing w:after="0" w:line="287" w:lineRule="auto"/>
        <w:rPr>
          <w:sz w:val="20"/>
          <w:szCs w:val="20"/>
          <w:color w:val="auto"/>
        </w:rPr>
      </w:pPr>
      <w:r>
        <w:rPr>
          <w:rFonts w:ascii="Arial" w:cs="Arial" w:eastAsia="Arial" w:hAnsi="Arial"/>
          <w:sz w:val="16"/>
          <w:szCs w:val="16"/>
          <w:color w:val="auto"/>
        </w:rPr>
        <w:t>Employers in China are required by PRC laws and regulations to provide employees with welfare schemes covering pension insurance, unemployment insurance, maternity insurance, work-related injury insurance, medical insurance and housing funds. According to the Social Insurance Law of the PRC promulgated by the National People’s Congress of the PRC on October 28, 2010, and became effective on July 1, 2011, together with other relevant laws and regulations, Any employer shall register with the local social insurance agency within thirty days after its establishment and shall register for the employee with the local social insurance agency within thirty days after the date of hiring. An employer shall declare and make social insurance contributions in full and on time. The occupational injury insurance and maternity insurance shall be only paid by employers while the contributions of basic pension insurance, medical insurance and unemployment insurance shall be paid by both employers and employees. Any employer that fails to make social insurance contributions may be ordered to pay the required contributions within a stipulated deadline. If the employer still fails to rectify the noncompliance within the stipulated deadline, it may be subject to a fine ranging from one to three times the amount overdue.</w:t>
      </w:r>
    </w:p>
    <w:p>
      <w:pPr>
        <w:spacing w:after="0" w:line="168" w:lineRule="exact"/>
        <w:rPr>
          <w:sz w:val="20"/>
          <w:szCs w:val="20"/>
          <w:color w:val="auto"/>
        </w:rPr>
      </w:pPr>
    </w:p>
    <w:p>
      <w:pPr>
        <w:ind w:left="240" w:firstLine="438"/>
        <w:spacing w:after="0" w:line="295" w:lineRule="auto"/>
        <w:rPr>
          <w:sz w:val="20"/>
          <w:szCs w:val="20"/>
          <w:color w:val="auto"/>
        </w:rPr>
      </w:pPr>
      <w:r>
        <w:rPr>
          <w:rFonts w:ascii="Arial" w:cs="Arial" w:eastAsia="Arial" w:hAnsi="Arial"/>
          <w:sz w:val="16"/>
          <w:szCs w:val="16"/>
          <w:color w:val="auto"/>
        </w:rPr>
        <w:t>According to the Regulations on Administration of Housing Fund promulgated by the State Council on April 3, 1999, and amended on March 24, 2002, an enterprise that fails to make housing fund contributions may be ordered to rectify the noncompliance and pay the required contributions within a stipulated deadline; otherwise, a petition may be made to a local court for enforcement. In addition, the PRC Individual Income Tax Law requires companies operating in China to withhold individual income tax on employees’ salaries based on the actual salary of each employee upon payment. We have not made adequate contributions to employee benefit plans, as required by applicable PRC laws and regulations.</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240" w:top="458" w:right="5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Directors and Executive Officers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4420" w:type="dxa"/>
            <w:vAlign w:val="bottom"/>
            <w:gridSpan w:val="2"/>
          </w:tcPr>
          <w:p>
            <w:pPr>
              <w:ind w:left="1140"/>
              <w:spacing w:after="0"/>
              <w:rPr>
                <w:sz w:val="20"/>
                <w:szCs w:val="20"/>
                <w:color w:val="auto"/>
              </w:rPr>
            </w:pPr>
            <w:r>
              <w:rPr>
                <w:rFonts w:ascii="Arial" w:cs="Arial" w:eastAsia="Arial" w:hAnsi="Arial"/>
                <w:sz w:val="14"/>
                <w:szCs w:val="14"/>
                <w:b w:val="1"/>
                <w:bCs w:val="1"/>
                <w:color w:val="auto"/>
              </w:rPr>
              <w:t>Directors and Executive Officers</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600" w:type="dxa"/>
            <w:vAlign w:val="bottom"/>
          </w:tcPr>
          <w:p>
            <w:pPr>
              <w:spacing w:after="0"/>
              <w:rPr>
                <w:sz w:val="16"/>
                <w:szCs w:val="16"/>
                <w:color w:val="auto"/>
              </w:rPr>
            </w:pPr>
          </w:p>
        </w:tc>
        <w:tc>
          <w:tcPr>
            <w:tcW w:w="5700" w:type="dxa"/>
            <w:vAlign w:val="bottom"/>
          </w:tcPr>
          <w:p>
            <w:pPr>
              <w:ind w:left="2440"/>
              <w:spacing w:after="0"/>
              <w:rPr>
                <w:sz w:val="20"/>
                <w:szCs w:val="20"/>
                <w:color w:val="auto"/>
              </w:rPr>
            </w:pPr>
            <w:r>
              <w:rPr>
                <w:rFonts w:ascii="Arial" w:cs="Arial" w:eastAsia="Arial" w:hAnsi="Arial"/>
                <w:sz w:val="14"/>
                <w:szCs w:val="14"/>
                <w:b w:val="1"/>
                <w:bCs w:val="1"/>
                <w:color w:val="auto"/>
              </w:rPr>
              <w:t>Position/Title</w:t>
            </w:r>
          </w:p>
        </w:tc>
      </w:tr>
      <w:tr>
        <w:trPr>
          <w:trHeight w:val="202"/>
        </w:trPr>
        <w:tc>
          <w:tcPr>
            <w:tcW w:w="42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Leaf Hua Li</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41</w:t>
            </w:r>
          </w:p>
        </w:tc>
        <w:tc>
          <w:tcPr>
            <w:tcW w:w="600" w:type="dxa"/>
            <w:vAlign w:val="bottom"/>
            <w:tcBorders>
              <w:top w:val="single" w:sz="8" w:color="CCEEFF"/>
            </w:tcBorders>
            <w:shd w:val="clear" w:color="auto" w:fill="CCEEFF"/>
          </w:tcPr>
          <w:p>
            <w:pPr>
              <w:spacing w:after="0"/>
              <w:rPr>
                <w:sz w:val="17"/>
                <w:szCs w:val="17"/>
                <w:color w:val="auto"/>
              </w:rPr>
            </w:pPr>
          </w:p>
        </w:tc>
        <w:tc>
          <w:tcPr>
            <w:tcW w:w="57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Founder, Chairman of the Board of Directors and Chief Executive Officer</w:t>
            </w:r>
          </w:p>
        </w:tc>
      </w:tr>
      <w:tr>
        <w:trPr>
          <w:trHeight w:val="215"/>
        </w:trPr>
        <w:tc>
          <w:tcPr>
            <w:tcW w:w="4420" w:type="dxa"/>
            <w:vAlign w:val="bottom"/>
            <w:gridSpan w:val="2"/>
          </w:tcPr>
          <w:p>
            <w:pPr>
              <w:spacing w:after="0"/>
              <w:rPr>
                <w:sz w:val="20"/>
                <w:szCs w:val="20"/>
                <w:color w:val="auto"/>
              </w:rPr>
            </w:pPr>
            <w:r>
              <w:rPr>
                <w:rFonts w:ascii="Arial" w:cs="Arial" w:eastAsia="Arial" w:hAnsi="Arial"/>
                <w:sz w:val="18"/>
                <w:szCs w:val="18"/>
                <w:color w:val="auto"/>
              </w:rPr>
              <w:t>Ppchen Weihua Chen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6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5"/>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Yu Chen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60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5"/>
        </w:trPr>
        <w:tc>
          <w:tcPr>
            <w:tcW w:w="4420" w:type="dxa"/>
            <w:vAlign w:val="bottom"/>
            <w:gridSpan w:val="2"/>
          </w:tcPr>
          <w:p>
            <w:pPr>
              <w:spacing w:after="0"/>
              <w:rPr>
                <w:sz w:val="20"/>
                <w:szCs w:val="20"/>
                <w:color w:val="auto"/>
              </w:rPr>
            </w:pPr>
            <w:r>
              <w:rPr>
                <w:rFonts w:ascii="Arial" w:cs="Arial" w:eastAsia="Arial" w:hAnsi="Arial"/>
                <w:sz w:val="18"/>
                <w:szCs w:val="18"/>
                <w:color w:val="auto"/>
              </w:rPr>
              <w:t>Nineway Jie Zhang</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6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15"/>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 Lu</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60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5"/>
        </w:trPr>
        <w:tc>
          <w:tcPr>
            <w:tcW w:w="4420" w:type="dxa"/>
            <w:vAlign w:val="bottom"/>
            <w:gridSpan w:val="2"/>
          </w:tcPr>
          <w:p>
            <w:pPr>
              <w:spacing w:after="0"/>
              <w:rPr>
                <w:sz w:val="20"/>
                <w:szCs w:val="20"/>
                <w:color w:val="auto"/>
              </w:rPr>
            </w:pPr>
            <w:r>
              <w:rPr>
                <w:rFonts w:ascii="Arial" w:cs="Arial" w:eastAsia="Arial" w:hAnsi="Arial"/>
                <w:sz w:val="18"/>
                <w:szCs w:val="18"/>
                <w:color w:val="auto"/>
              </w:rPr>
              <w:t>Vic Haixiang Li</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6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28"/>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Li Xu</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60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w:t>
            </w:r>
          </w:p>
        </w:tc>
      </w:tr>
      <w:tr>
        <w:trPr>
          <w:trHeight w:val="229"/>
        </w:trPr>
        <w:tc>
          <w:tcPr>
            <w:tcW w:w="4420" w:type="dxa"/>
            <w:vAlign w:val="bottom"/>
            <w:gridSpan w:val="2"/>
          </w:tcPr>
          <w:p>
            <w:pPr>
              <w:spacing w:after="0"/>
              <w:rPr>
                <w:sz w:val="20"/>
                <w:szCs w:val="20"/>
                <w:color w:val="auto"/>
              </w:rPr>
            </w:pPr>
            <w:r>
              <w:rPr>
                <w:rFonts w:ascii="Arial" w:cs="Arial" w:eastAsia="Arial" w:hAnsi="Arial"/>
                <w:sz w:val="18"/>
                <w:szCs w:val="18"/>
                <w:color w:val="auto"/>
              </w:rPr>
              <w:t>Ching-Yee Joey Poon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6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Head of Compliance</w:t>
            </w:r>
          </w:p>
        </w:tc>
      </w:tr>
    </w:tbl>
    <w:p>
      <w:pPr>
        <w:spacing w:after="0" w:line="186" w:lineRule="exact"/>
        <w:rPr>
          <w:sz w:val="20"/>
          <w:szCs w:val="20"/>
          <w:color w:val="auto"/>
        </w:rPr>
      </w:pPr>
    </w:p>
    <w:p>
      <w:pPr>
        <w:ind w:left="240" w:right="60" w:firstLine="438"/>
        <w:spacing w:after="0" w:line="270" w:lineRule="auto"/>
        <w:rPr>
          <w:sz w:val="20"/>
          <w:szCs w:val="20"/>
          <w:color w:val="auto"/>
        </w:rPr>
      </w:pPr>
      <w:r>
        <w:rPr>
          <w:rFonts w:ascii="Arial" w:cs="Arial" w:eastAsia="Arial" w:hAnsi="Arial"/>
          <w:sz w:val="17"/>
          <w:szCs w:val="17"/>
          <w:i w:val="1"/>
          <w:iCs w:val="1"/>
          <w:color w:val="auto"/>
        </w:rPr>
        <w:t xml:space="preserve">Mr. Leaf Hua Li </w:t>
      </w:r>
      <w:r>
        <w:rPr>
          <w:rFonts w:ascii="Arial" w:cs="Arial" w:eastAsia="Arial" w:hAnsi="Arial"/>
          <w:sz w:val="17"/>
          <w:szCs w:val="17"/>
          <w:color w:val="auto"/>
        </w:rPr>
        <w:t>is our founder and has served as the chairman of our board of directors and our chief executive officer since our inception. Mr. Li</w:t>
      </w:r>
      <w:r>
        <w:rPr>
          <w:rFonts w:ascii="Arial" w:cs="Arial" w:eastAsia="Arial" w:hAnsi="Arial"/>
          <w:sz w:val="17"/>
          <w:szCs w:val="17"/>
          <w:i w:val="1"/>
          <w:iCs w:val="1"/>
          <w:color w:val="auto"/>
        </w:rPr>
        <w:t xml:space="preserve"> </w:t>
      </w:r>
      <w:r>
        <w:rPr>
          <w:rFonts w:ascii="Arial" w:cs="Arial" w:eastAsia="Arial" w:hAnsi="Arial"/>
          <w:sz w:val="17"/>
          <w:szCs w:val="17"/>
          <w:color w:val="auto"/>
        </w:rPr>
        <w:t>has rich experience and expertise in the technology and internet sectors in China. Before founding our company, Mr. Li had served in several senior management roles at Tencent, including the head of Tencent’s multi-media business and its innovation center. Mr. Li joined Tencent in 2000 and was the 18th founding employee of Tencent. He was an early and key research and development participant of Tencent QQ. Mr. Li was also the founder of Tencent Video and led the product design and development of Tencent Video. Mr. Li invented 23 international and domestic patents while working at Tencent. In 2008, Mr. Li was presented the “Innovative Talent Award” by the municipal government of Shenzhen, Guangdong. Mr. Li received his bachelor’s degree in computer science and technology from Hunan University in 2000.</w:t>
      </w:r>
    </w:p>
    <w:p>
      <w:pPr>
        <w:spacing w:after="0" w:line="179" w:lineRule="exact"/>
        <w:rPr>
          <w:sz w:val="20"/>
          <w:szCs w:val="20"/>
          <w:color w:val="auto"/>
        </w:rPr>
      </w:pPr>
    </w:p>
    <w:p>
      <w:pPr>
        <w:ind w:left="240" w:right="440" w:firstLine="438"/>
        <w:spacing w:after="0" w:line="300" w:lineRule="auto"/>
        <w:rPr>
          <w:sz w:val="20"/>
          <w:szCs w:val="20"/>
          <w:color w:val="auto"/>
        </w:rPr>
      </w:pPr>
      <w:r>
        <w:rPr>
          <w:rFonts w:ascii="Arial" w:cs="Arial" w:eastAsia="Arial" w:hAnsi="Arial"/>
          <w:sz w:val="16"/>
          <w:szCs w:val="16"/>
          <w:i w:val="1"/>
          <w:iCs w:val="1"/>
          <w:color w:val="auto"/>
        </w:rPr>
        <w:t xml:space="preserve">Mr. Ppchen Weihua Chen </w:t>
      </w:r>
      <w:r>
        <w:rPr>
          <w:rFonts w:ascii="Arial" w:cs="Arial" w:eastAsia="Arial" w:hAnsi="Arial"/>
          <w:sz w:val="16"/>
          <w:szCs w:val="16"/>
          <w:color w:val="auto"/>
        </w:rPr>
        <w:t>has served as our chief technology officer since July 2015. Prior to joining our company, Mr. Chen was a senior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expert at Tencent, where he served as the head of Tencent QQ’s back-end services from 2003 to 2013 and was in charge of the security, maintenance and big data areas of Tencent’s Weixin from 2013 to 2015. Mr. Chen invented 34 international and domestic patents while working at Tencent. Mr. Chen received his bachelor’s degree in science from Shenyang University of Technology in 2001.</w:t>
      </w:r>
    </w:p>
    <w:p>
      <w:pPr>
        <w:spacing w:after="0" w:line="154" w:lineRule="exact"/>
        <w:rPr>
          <w:sz w:val="20"/>
          <w:szCs w:val="20"/>
          <w:color w:val="auto"/>
        </w:rPr>
      </w:pPr>
    </w:p>
    <w:p>
      <w:pPr>
        <w:jc w:val="both"/>
        <w:ind w:left="240" w:right="60" w:firstLine="438"/>
        <w:spacing w:after="0" w:line="277" w:lineRule="auto"/>
        <w:rPr>
          <w:sz w:val="20"/>
          <w:szCs w:val="20"/>
          <w:color w:val="auto"/>
        </w:rPr>
      </w:pPr>
      <w:r>
        <w:rPr>
          <w:rFonts w:ascii="Arial" w:cs="Arial" w:eastAsia="Arial" w:hAnsi="Arial"/>
          <w:sz w:val="17"/>
          <w:szCs w:val="17"/>
          <w:i w:val="1"/>
          <w:iCs w:val="1"/>
          <w:color w:val="auto"/>
        </w:rPr>
        <w:t xml:space="preserve">Mr. Arthur Yu Chen </w:t>
      </w:r>
      <w:r>
        <w:rPr>
          <w:rFonts w:ascii="Arial" w:cs="Arial" w:eastAsia="Arial" w:hAnsi="Arial"/>
          <w:sz w:val="17"/>
          <w:szCs w:val="17"/>
          <w:color w:val="auto"/>
        </w:rPr>
        <w:t>has served as our chief financial officer since September 2017. Prior to joining our company, Mr. Chen served as a director at</w:t>
      </w:r>
      <w:r>
        <w:rPr>
          <w:rFonts w:ascii="Arial" w:cs="Arial" w:eastAsia="Arial" w:hAnsi="Arial"/>
          <w:sz w:val="17"/>
          <w:szCs w:val="17"/>
          <w:i w:val="1"/>
          <w:iCs w:val="1"/>
          <w:color w:val="auto"/>
        </w:rPr>
        <w:t xml:space="preserve"> </w:t>
      </w:r>
      <w:r>
        <w:rPr>
          <w:rFonts w:ascii="Arial" w:cs="Arial" w:eastAsia="Arial" w:hAnsi="Arial"/>
          <w:sz w:val="17"/>
          <w:szCs w:val="17"/>
          <w:color w:val="auto"/>
        </w:rPr>
        <w:t>Citigroup Global Markets Asia Limited from 2009 to 2016 in its equity business. Mr. Chen also served as a vice president at China International Capital Corporation from 2005 to 2009. Mr. Chen received his bachelor’s degree in economics from Shanghai University of Finance &amp; Economics in 1998 and his master’s degree in business administration from China Europe International Business School in 2005.</w:t>
      </w:r>
    </w:p>
    <w:p>
      <w:pPr>
        <w:spacing w:after="0" w:line="172" w:lineRule="exact"/>
        <w:rPr>
          <w:sz w:val="20"/>
          <w:szCs w:val="20"/>
          <w:color w:val="auto"/>
        </w:rPr>
      </w:pPr>
    </w:p>
    <w:p>
      <w:pPr>
        <w:ind w:left="240" w:right="140" w:firstLine="438"/>
        <w:spacing w:after="0" w:line="269" w:lineRule="auto"/>
        <w:rPr>
          <w:sz w:val="20"/>
          <w:szCs w:val="20"/>
          <w:color w:val="auto"/>
        </w:rPr>
      </w:pPr>
      <w:r>
        <w:rPr>
          <w:rFonts w:ascii="Arial" w:cs="Arial" w:eastAsia="Arial" w:hAnsi="Arial"/>
          <w:sz w:val="17"/>
          <w:szCs w:val="17"/>
          <w:i w:val="1"/>
          <w:iCs w:val="1"/>
          <w:color w:val="auto"/>
        </w:rPr>
        <w:t xml:space="preserve">Mr. Nineway Jie Zhang </w:t>
      </w:r>
      <w:r>
        <w:rPr>
          <w:rFonts w:ascii="Arial" w:cs="Arial" w:eastAsia="Arial" w:hAnsi="Arial"/>
          <w:sz w:val="17"/>
          <w:szCs w:val="17"/>
          <w:color w:val="auto"/>
        </w:rPr>
        <w:t>has served as our director since October 2014. Mr. Zhang currently serves as the head of our financial information sector.</w:t>
      </w:r>
      <w:r>
        <w:rPr>
          <w:rFonts w:ascii="Arial" w:cs="Arial" w:eastAsia="Arial" w:hAnsi="Arial"/>
          <w:sz w:val="17"/>
          <w:szCs w:val="17"/>
          <w:i w:val="1"/>
          <w:iCs w:val="1"/>
          <w:color w:val="auto"/>
        </w:rPr>
        <w:t xml:space="preserve"> </w:t>
      </w:r>
      <w:r>
        <w:rPr>
          <w:rFonts w:ascii="Arial" w:cs="Arial" w:eastAsia="Arial" w:hAnsi="Arial"/>
          <w:sz w:val="17"/>
          <w:szCs w:val="17"/>
          <w:color w:val="auto"/>
        </w:rPr>
        <w:t>Mr. Zhang has been working in internet securities trading business since 1997. Prior to joining our company, from 2002 to 2013, Mr. Zhang served as the head of the online trading center of the headquarters of Shenzhen of China Galaxy Securities Co., Ltd. (HKEx: 6881) in Beijing in charge of business development and the head of the online retail trading business of its Shenzhen branch. Mr. Zhang also served as the manager of its online transaction business at Essence Securities (previously known as Guangdong Securities) from 2000 to 2002 and served in various roles at several internet-based companies prior to that. Mr. Zhang received an associate’s degree in marketing from Nanjing University of Science and Technology in 1994, a master’s degree in business administration from South China University of Technology in 2009 and an executive master’s degree in business administration from Cheung Kong Graduate School of Business in 2013.</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8"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i w:val="1"/>
          <w:iCs w:val="1"/>
          <w:color w:val="auto"/>
        </w:rPr>
        <w:t xml:space="preserve">Mr. Shan Lu </w:t>
      </w:r>
      <w:r>
        <w:rPr>
          <w:rFonts w:ascii="Arial" w:cs="Arial" w:eastAsia="Arial" w:hAnsi="Arial"/>
          <w:sz w:val="18"/>
          <w:szCs w:val="18"/>
          <w:color w:val="auto"/>
        </w:rPr>
        <w:t>has served as our director since October 2014. Mr. Lu currently serves as the senior executive vice president of Tencent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Technology and Engineering Group. Prior to joining Tencent in 2000, Mr. Lu served as a research and development engineer for Shenzhen Liming Network Systems from 1998 to 2000. Mr. Lu received his bachelor’s degree in computer science from the University of Science and Technology of China in 1998.</w:t>
      </w:r>
    </w:p>
    <w:p>
      <w:pPr>
        <w:spacing w:after="0" w:line="188" w:lineRule="exact"/>
        <w:rPr>
          <w:sz w:val="20"/>
          <w:szCs w:val="20"/>
          <w:color w:val="auto"/>
        </w:rPr>
      </w:pPr>
    </w:p>
    <w:p>
      <w:pPr>
        <w:ind w:left="240" w:right="20" w:firstLine="438"/>
        <w:spacing w:after="0" w:line="292" w:lineRule="auto"/>
        <w:rPr>
          <w:sz w:val="20"/>
          <w:szCs w:val="20"/>
          <w:color w:val="auto"/>
        </w:rPr>
      </w:pPr>
      <w:r>
        <w:rPr>
          <w:rFonts w:ascii="Arial" w:cs="Arial" w:eastAsia="Arial" w:hAnsi="Arial"/>
          <w:sz w:val="16"/>
          <w:szCs w:val="16"/>
          <w:i w:val="1"/>
          <w:iCs w:val="1"/>
          <w:color w:val="auto"/>
        </w:rPr>
        <w:t xml:space="preserve">Mr. Vic Haixiang Li </w:t>
      </w:r>
      <w:r>
        <w:rPr>
          <w:rFonts w:ascii="Arial" w:cs="Arial" w:eastAsia="Arial" w:hAnsi="Arial"/>
          <w:sz w:val="16"/>
          <w:szCs w:val="16"/>
          <w:color w:val="auto"/>
        </w:rPr>
        <w:t>has served as our independent director since October 2018. Mr. Li is the founder and managing partner of Virtus Inspire, and</w:t>
      </w:r>
      <w:r>
        <w:rPr>
          <w:rFonts w:ascii="Arial" w:cs="Arial" w:eastAsia="Arial" w:hAnsi="Arial"/>
          <w:sz w:val="16"/>
          <w:szCs w:val="16"/>
          <w:i w:val="1"/>
          <w:iCs w:val="1"/>
          <w:color w:val="auto"/>
        </w:rPr>
        <w:t xml:space="preserve"> </w:t>
      </w:r>
      <w:r>
        <w:rPr>
          <w:rFonts w:ascii="Arial" w:cs="Arial" w:eastAsia="Arial" w:hAnsi="Arial"/>
          <w:sz w:val="16"/>
          <w:szCs w:val="16"/>
          <w:color w:val="auto"/>
        </w:rPr>
        <w:t>is also a co-founder of Tencent. Mr. Li left Tencent in 2012. He focuses on investments in technology, media and telecommunications as well as medical technology companies in China, the United States, Europe and Israel. Before founding Virtus Inspire, Mr. Li was in charge of Tencent’s online search business from 2010 to 2012 and served as the senior executive vice president of Tencent from 1999. Mr. Li was recognized as “China Top CIO” by the CEO and CIO magazine in 2008. Mr. Li received his bachelor’s degree in computer software from South China University of Technology in 1994 and his master’s degree in business administration from China Europe International Business School in 2017.</w:t>
      </w:r>
    </w:p>
    <w:p>
      <w:pPr>
        <w:spacing w:after="0" w:line="161" w:lineRule="exact"/>
        <w:rPr>
          <w:sz w:val="20"/>
          <w:szCs w:val="20"/>
          <w:color w:val="auto"/>
        </w:rPr>
      </w:pPr>
    </w:p>
    <w:p>
      <w:pPr>
        <w:ind w:left="240" w:right="60" w:firstLine="438"/>
        <w:spacing w:after="0" w:line="257" w:lineRule="auto"/>
        <w:rPr>
          <w:sz w:val="20"/>
          <w:szCs w:val="20"/>
          <w:color w:val="auto"/>
        </w:rPr>
      </w:pPr>
      <w:r>
        <w:rPr>
          <w:rFonts w:ascii="Arial" w:cs="Arial" w:eastAsia="Arial" w:hAnsi="Arial"/>
          <w:sz w:val="18"/>
          <w:szCs w:val="18"/>
          <w:i w:val="1"/>
          <w:iCs w:val="1"/>
          <w:color w:val="auto"/>
        </w:rPr>
        <w:t xml:space="preserve">Mr. Robin Li Xu </w:t>
      </w:r>
      <w:r>
        <w:rPr>
          <w:rFonts w:ascii="Arial" w:cs="Arial" w:eastAsia="Arial" w:hAnsi="Arial"/>
          <w:sz w:val="18"/>
          <w:szCs w:val="18"/>
          <w:color w:val="auto"/>
        </w:rPr>
        <w:t>has served as our vice president in charge of products and growth since August 2013. Prior to joining our company, from 2006 to</w:t>
      </w:r>
      <w:r>
        <w:rPr>
          <w:rFonts w:ascii="Arial" w:cs="Arial" w:eastAsia="Arial" w:hAnsi="Arial"/>
          <w:sz w:val="18"/>
          <w:szCs w:val="18"/>
          <w:i w:val="1"/>
          <w:iCs w:val="1"/>
          <w:color w:val="auto"/>
        </w:rPr>
        <w:t xml:space="preserve"> </w:t>
      </w:r>
      <w:r>
        <w:rPr>
          <w:rFonts w:ascii="Arial" w:cs="Arial" w:eastAsia="Arial" w:hAnsi="Arial"/>
          <w:sz w:val="18"/>
          <w:szCs w:val="18"/>
          <w:color w:val="auto"/>
        </w:rPr>
        <w:t>2013, Mr. Xu held several positions at Tencent, and was a senior product manager in the infrastructure platform department of Tenpay, a leading online payment platform in China owned by Tencent, and was responsible for product development and operations. Mr. Xu received his bachelor’s degree in science from Heilongjiang University in 2006.</w:t>
      </w:r>
    </w:p>
    <w:p>
      <w:pPr>
        <w:spacing w:after="0" w:line="188" w:lineRule="exact"/>
        <w:rPr>
          <w:sz w:val="20"/>
          <w:szCs w:val="20"/>
          <w:color w:val="auto"/>
        </w:rPr>
      </w:pPr>
    </w:p>
    <w:p>
      <w:pPr>
        <w:ind w:left="240" w:right="20" w:firstLine="438"/>
        <w:spacing w:after="0" w:line="272" w:lineRule="auto"/>
        <w:rPr>
          <w:sz w:val="20"/>
          <w:szCs w:val="20"/>
          <w:color w:val="auto"/>
        </w:rPr>
      </w:pPr>
      <w:r>
        <w:rPr>
          <w:rFonts w:ascii="Arial" w:cs="Arial" w:eastAsia="Arial" w:hAnsi="Arial"/>
          <w:sz w:val="17"/>
          <w:szCs w:val="17"/>
          <w:i w:val="1"/>
          <w:iCs w:val="1"/>
          <w:color w:val="auto"/>
        </w:rPr>
        <w:t xml:space="preserve">Ms. Ching-Yee Joey Poon </w:t>
      </w:r>
      <w:r>
        <w:rPr>
          <w:rFonts w:ascii="Arial" w:cs="Arial" w:eastAsia="Arial" w:hAnsi="Arial"/>
          <w:sz w:val="17"/>
          <w:szCs w:val="17"/>
          <w:color w:val="auto"/>
        </w:rPr>
        <w:t>has served as our head of compliance since September 2016. Prior to joining our company, Ms. Poon had served in</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senior roles for Xinhu International Futures (Hong Kong) Co. Ltd., including as the responsible officer, dealing business manager and chief operating officer, where she supervised its dealing function and monitored its trading activities from 2015 to 2016. Ms. Poon also served as the head and responsible officer of the futures dealing department at Rifa Futures Limited and Rifa Securities Limited from 2013 to 2015. She engaged in trading business and served various roles as trader and dealer in Hong Kong and New York since 2009. Ms. Poon received her bachelor’s degree in business administration from Zicklin School of Business at CUNY Bernard M. Baruch College in 2008.</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Board of Directors</w:t>
      </w:r>
    </w:p>
    <w:p>
      <w:pPr>
        <w:spacing w:after="0" w:line="119" w:lineRule="exact"/>
        <w:rPr>
          <w:sz w:val="20"/>
          <w:szCs w:val="20"/>
          <w:color w:val="auto"/>
        </w:rPr>
      </w:pPr>
    </w:p>
    <w:p>
      <w:pPr>
        <w:ind w:left="680"/>
        <w:spacing w:after="0"/>
        <w:tabs>
          <w:tab w:leader="none" w:pos="4060" w:val="left"/>
        </w:tabs>
        <w:rPr>
          <w:sz w:val="20"/>
          <w:szCs w:val="20"/>
          <w:color w:val="auto"/>
        </w:rPr>
      </w:pPr>
      <w:r>
        <w:rPr>
          <w:rFonts w:ascii="Arial" w:cs="Arial" w:eastAsia="Arial" w:hAnsi="Arial"/>
          <w:sz w:val="18"/>
          <w:szCs w:val="18"/>
          <w:color w:val="auto"/>
        </w:rPr>
        <w:t>Our board of directors will consist of</w:t>
      </w:r>
      <w:r>
        <w:rPr>
          <w:sz w:val="20"/>
          <w:szCs w:val="20"/>
          <w:color w:val="auto"/>
        </w:rPr>
        <w:tab/>
      </w:r>
      <w:r>
        <w:rPr>
          <w:rFonts w:ascii="Arial" w:cs="Arial" w:eastAsia="Arial" w:hAnsi="Arial"/>
          <w:sz w:val="16"/>
          <w:szCs w:val="16"/>
          <w:color w:val="auto"/>
        </w:rPr>
        <w:t>directors upon the completion of this offering. A director is not required to hold any shares in our</w:t>
      </w:r>
    </w:p>
    <w:p>
      <w:pPr>
        <w:spacing w:after="0" w:line="22" w:lineRule="exact"/>
        <w:rPr>
          <w:sz w:val="20"/>
          <w:szCs w:val="20"/>
          <w:color w:val="auto"/>
        </w:rPr>
      </w:pPr>
    </w:p>
    <w:p>
      <w:pPr>
        <w:ind w:left="240" w:right="140"/>
        <w:spacing w:after="0" w:line="267" w:lineRule="auto"/>
        <w:rPr>
          <w:sz w:val="20"/>
          <w:szCs w:val="20"/>
          <w:color w:val="auto"/>
        </w:rPr>
      </w:pPr>
      <w:r>
        <w:rPr>
          <w:rFonts w:ascii="Arial" w:cs="Arial" w:eastAsia="Arial" w:hAnsi="Arial"/>
          <w:sz w:val="17"/>
          <w:szCs w:val="17"/>
          <w:color w:val="auto"/>
        </w:rPr>
        <w:t>company by way of qualification. A director may vote with respect to any contract, proposed contract or arrangement in which he is materially interested provided (a) such director, if his interest in such contract or arrangement is material,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19" w:lineRule="exact"/>
        <w:rPr>
          <w:sz w:val="20"/>
          <w:szCs w:val="20"/>
          <w:color w:val="auto"/>
        </w:rPr>
      </w:pPr>
    </w:p>
    <w:p>
      <w:pPr>
        <w:ind w:left="240" w:right="140" w:firstLine="438"/>
        <w:spacing w:after="0" w:line="284" w:lineRule="auto"/>
        <w:rPr>
          <w:sz w:val="20"/>
          <w:szCs w:val="20"/>
          <w:color w:val="auto"/>
        </w:rPr>
      </w:pPr>
      <w:r>
        <w:rPr>
          <w:rFonts w:ascii="Arial" w:cs="Arial" w:eastAsia="Arial" w:hAnsi="Arial"/>
          <w:sz w:val="17"/>
          <w:szCs w:val="17"/>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expect to adopt a charter for each of the three committees. Each committee’s members and functions are described below.</w:t>
      </w:r>
    </w:p>
    <w:p>
      <w:pPr>
        <w:sectPr>
          <w:pgSz w:w="11900" w:h="16838" w:orient="portrait"/>
          <w:cols w:equalWidth="0" w:num="1">
            <w:col w:w="11180"/>
          </w:cols>
          <w:pgMar w:left="240" w:top="458" w:right="479" w:bottom="1440" w:gutter="0" w:footer="0" w:header="0"/>
        </w:sectPr>
      </w:pPr>
    </w:p>
    <w:p>
      <w:pPr>
        <w:spacing w:after="0" w:line="165"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Audit Committee. Our audit committee will consist of</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will be the chairman of our audit committee.</w:t>
      </w:r>
    </w:p>
    <w:p>
      <w:pPr>
        <w:spacing w:after="0" w:line="44" w:lineRule="exact"/>
        <w:rPr>
          <w:sz w:val="20"/>
          <w:szCs w:val="20"/>
          <w:color w:val="auto"/>
        </w:rPr>
      </w:pPr>
    </w:p>
    <w:p>
      <w:pPr>
        <w:sectPr>
          <w:pgSz w:w="11900" w:h="16838" w:orient="portrait"/>
          <w:cols w:equalWidth="0" w:num="5">
            <w:col w:w="4560" w:space="700"/>
            <w:col w:w="60" w:space="700"/>
            <w:col w:w="300" w:space="720"/>
            <w:col w:w="60" w:space="700"/>
            <w:col w:w="3380"/>
          </w:cols>
          <w:pgMar w:left="240" w:top="458" w:right="479" w:bottom="1440" w:gutter="0" w:footer="0" w:header="0"/>
          <w:type w:val="continuous"/>
        </w:sectPr>
      </w:pPr>
    </w:p>
    <w:p>
      <w:pPr>
        <w:ind w:left="240"/>
        <w:spacing w:after="0"/>
        <w:tabs>
          <w:tab w:leader="none" w:pos="2720" w:val="left"/>
          <w:tab w:leader="none" w:pos="3680" w:val="left"/>
        </w:tabs>
        <w:rPr>
          <w:sz w:val="20"/>
          <w:szCs w:val="20"/>
          <w:color w:val="auto"/>
        </w:rPr>
      </w:pPr>
      <w:r>
        <w:rPr>
          <w:rFonts w:ascii="Arial" w:cs="Arial" w:eastAsia="Arial" w:hAnsi="Arial"/>
          <w:sz w:val="18"/>
          <w:szCs w:val="18"/>
          <w:color w:val="auto"/>
        </w:rPr>
        <w:t>We have determined that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each satisfies the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1180"/>
          </w:cols>
          <w:pgMar w:left="240" w:top="458" w:right="47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“independence” requirements of Rule 5605(c)(2) of the Nasdaq Stock Market Rules and meet the independence standards under Rule 10A-3 under the</w:t>
      </w:r>
    </w:p>
    <w:p>
      <w:pPr>
        <w:spacing w:after="0" w:line="45" w:lineRule="exact"/>
        <w:rPr>
          <w:sz w:val="20"/>
          <w:szCs w:val="20"/>
          <w:color w:val="auto"/>
        </w:rPr>
      </w:pPr>
    </w:p>
    <w:p>
      <w:pPr>
        <w:ind w:left="240" w:right="20"/>
        <w:spacing w:after="0" w:line="300" w:lineRule="auto"/>
        <w:rPr>
          <w:sz w:val="20"/>
          <w:szCs w:val="20"/>
          <w:color w:val="auto"/>
        </w:rPr>
      </w:pPr>
      <w:r>
        <w:rPr>
          <w:rFonts w:ascii="Arial" w:cs="Arial" w:eastAsia="Arial" w:hAnsi="Arial"/>
          <w:sz w:val="16"/>
          <w:szCs w:val="16"/>
          <w:color w:val="auto"/>
        </w:rPr>
        <w:t>Exchange Act, as amended. We have determined that qualifies as an “audit committee financial expert” within the meaning of the SEC rules and possesses financial sophistication within the meaning of the Nasdaq Stock Market Rules. The audit committee will oversee our accounting and financial reporting processes and the audits of the financial statements of our company. The audit committee will be responsible for, among other things:</w:t>
      </w:r>
    </w:p>
    <w:p>
      <w:pPr>
        <w:spacing w:after="0" w:line="61" w:lineRule="exact"/>
        <w:rPr>
          <w:sz w:val="20"/>
          <w:szCs w:val="20"/>
          <w:color w:val="auto"/>
        </w:rPr>
      </w:pPr>
    </w:p>
    <w:p>
      <w:pPr>
        <w:ind w:left="660" w:right="520" w:hanging="317"/>
        <w:spacing w:after="0" w:line="27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appointing the independent auditors and pre-approving all auditing and non-auditing services permitted to be performed by the independent auditors;</w:t>
      </w:r>
    </w:p>
    <w:p>
      <w:pPr>
        <w:spacing w:after="0" w:line="76" w:lineRule="exact"/>
        <w:rPr>
          <w:rFonts w:ascii="Arial" w:cs="Arial" w:eastAsia="Arial" w:hAnsi="Arial"/>
          <w:sz w:val="18"/>
          <w:szCs w:val="18"/>
          <w:color w:val="auto"/>
        </w:rPr>
      </w:pPr>
    </w:p>
    <w:p>
      <w:pPr>
        <w:ind w:left="660" w:hanging="317"/>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128" w:lineRule="exact"/>
        <w:rPr>
          <w:rFonts w:ascii="Arial" w:cs="Arial" w:eastAsia="Arial" w:hAnsi="Arial"/>
          <w:sz w:val="18"/>
          <w:szCs w:val="18"/>
          <w:color w:val="auto"/>
        </w:rPr>
      </w:pPr>
    </w:p>
    <w:p>
      <w:pPr>
        <w:ind w:left="660" w:hanging="317"/>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128" w:lineRule="exact"/>
        <w:rPr>
          <w:rFonts w:ascii="Arial" w:cs="Arial" w:eastAsia="Arial" w:hAnsi="Arial"/>
          <w:sz w:val="18"/>
          <w:szCs w:val="18"/>
          <w:color w:val="auto"/>
        </w:rPr>
      </w:pPr>
    </w:p>
    <w:p>
      <w:pPr>
        <w:ind w:left="660" w:right="500" w:hanging="317"/>
        <w:spacing w:after="0" w:line="27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spacing w:after="0" w:line="76" w:lineRule="exact"/>
        <w:rPr>
          <w:rFonts w:ascii="Arial" w:cs="Arial" w:eastAsia="Arial" w:hAnsi="Arial"/>
          <w:sz w:val="18"/>
          <w:szCs w:val="18"/>
          <w:color w:val="auto"/>
        </w:rPr>
      </w:pPr>
    </w:p>
    <w:p>
      <w:pPr>
        <w:ind w:left="660" w:hanging="317"/>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28" w:lineRule="exact"/>
        <w:rPr>
          <w:rFonts w:ascii="Arial" w:cs="Arial" w:eastAsia="Arial" w:hAnsi="Arial"/>
          <w:sz w:val="18"/>
          <w:szCs w:val="18"/>
          <w:color w:val="auto"/>
        </w:rPr>
      </w:pPr>
    </w:p>
    <w:p>
      <w:pPr>
        <w:ind w:left="660" w:hanging="317"/>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 and</w:t>
      </w:r>
    </w:p>
    <w:p>
      <w:pPr>
        <w:spacing w:after="0" w:line="128" w:lineRule="exact"/>
        <w:rPr>
          <w:rFonts w:ascii="Arial" w:cs="Arial" w:eastAsia="Arial" w:hAnsi="Arial"/>
          <w:sz w:val="18"/>
          <w:szCs w:val="18"/>
          <w:color w:val="auto"/>
        </w:rPr>
      </w:pPr>
    </w:p>
    <w:p>
      <w:pPr>
        <w:ind w:left="660" w:right="320" w:hanging="317"/>
        <w:spacing w:after="0" w:line="27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70"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Our compensation committee will consist of , and . will be the chairman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We have determined that and each satisfies the “independence” requirements of Rule 5605(a)(2) of the</w:t>
      </w:r>
    </w:p>
    <w:p>
      <w:pPr>
        <w:spacing w:after="0" w:line="1" w:lineRule="exact"/>
        <w:rPr>
          <w:sz w:val="20"/>
          <w:szCs w:val="20"/>
          <w:color w:val="auto"/>
        </w:rPr>
      </w:pPr>
    </w:p>
    <w:p>
      <w:pPr>
        <w:ind w:left="240" w:right="60"/>
        <w:spacing w:after="0" w:line="275" w:lineRule="auto"/>
        <w:rPr>
          <w:sz w:val="20"/>
          <w:szCs w:val="20"/>
          <w:color w:val="auto"/>
        </w:rPr>
      </w:pPr>
      <w:r>
        <w:rPr>
          <w:rFonts w:ascii="Arial" w:cs="Arial" w:eastAsia="Arial" w:hAnsi="Arial"/>
          <w:sz w:val="17"/>
          <w:szCs w:val="17"/>
          <w:color w:val="auto"/>
        </w:rPr>
        <w:t>Nasdaq Stock Market Rules.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79" w:lineRule="exact"/>
        <w:rPr>
          <w:sz w:val="20"/>
          <w:szCs w:val="20"/>
          <w:color w:val="auto"/>
        </w:rPr>
      </w:pPr>
    </w:p>
    <w:p>
      <w:pPr>
        <w:ind w:left="660" w:right="360" w:hanging="317"/>
        <w:spacing w:after="0" w:line="27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76" w:lineRule="exact"/>
        <w:rPr>
          <w:rFonts w:ascii="Arial" w:cs="Arial" w:eastAsia="Arial" w:hAnsi="Arial"/>
          <w:sz w:val="18"/>
          <w:szCs w:val="18"/>
          <w:color w:val="auto"/>
        </w:rPr>
      </w:pPr>
    </w:p>
    <w:p>
      <w:pPr>
        <w:ind w:left="660" w:hanging="317"/>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recommending to the board for determination with respect to the compensation of our non-employee directors;</w:t>
      </w:r>
    </w:p>
    <w:p>
      <w:pPr>
        <w:spacing w:after="0" w:line="128" w:lineRule="exact"/>
        <w:rPr>
          <w:rFonts w:ascii="Arial" w:cs="Arial" w:eastAsia="Arial" w:hAnsi="Arial"/>
          <w:sz w:val="18"/>
          <w:szCs w:val="18"/>
          <w:color w:val="auto"/>
        </w:rPr>
      </w:pPr>
    </w:p>
    <w:p>
      <w:pPr>
        <w:ind w:left="660" w:hanging="317"/>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similar arrangements; and</w:t>
      </w:r>
    </w:p>
    <w:p>
      <w:pPr>
        <w:spacing w:after="0" w:line="128" w:lineRule="exact"/>
        <w:rPr>
          <w:rFonts w:ascii="Arial" w:cs="Arial" w:eastAsia="Arial" w:hAnsi="Arial"/>
          <w:sz w:val="18"/>
          <w:szCs w:val="18"/>
          <w:color w:val="auto"/>
        </w:rPr>
      </w:pPr>
    </w:p>
    <w:p>
      <w:pPr>
        <w:ind w:left="660" w:right="780" w:hanging="317"/>
        <w:spacing w:after="0" w:line="27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Nominating and Corporate Governance Committee</w:t>
      </w:r>
      <w:r>
        <w:rPr>
          <w:rFonts w:ascii="Arial" w:cs="Arial" w:eastAsia="Arial" w:hAnsi="Arial"/>
          <w:sz w:val="18"/>
          <w:szCs w:val="18"/>
          <w:color w:val="auto"/>
        </w:rPr>
        <w:t>. Our nominating and corporate governance committee will consist</w:t>
      </w:r>
    </w:p>
    <w:p>
      <w:pPr>
        <w:spacing w:after="0" w:line="22" w:lineRule="exact"/>
        <w:rPr>
          <w:sz w:val="20"/>
          <w:szCs w:val="20"/>
          <w:color w:val="auto"/>
        </w:rPr>
      </w:pPr>
    </w:p>
    <w:p>
      <w:pPr>
        <w:ind w:left="240"/>
        <w:spacing w:after="0"/>
        <w:tabs>
          <w:tab w:leader="none" w:pos="1080" w:val="left"/>
          <w:tab w:leader="none" w:pos="1840" w:val="left"/>
          <w:tab w:leader="none" w:pos="2860" w:val="left"/>
          <w:tab w:leader="none" w:pos="362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will be the chairman of our nominating and corporate governance</w:t>
      </w:r>
    </w:p>
    <w:p>
      <w:pPr>
        <w:spacing w:after="0" w:line="8" w:lineRule="exact"/>
        <w:rPr>
          <w:sz w:val="20"/>
          <w:szCs w:val="20"/>
          <w:color w:val="auto"/>
        </w:rPr>
      </w:pPr>
    </w:p>
    <w:p>
      <w:pPr>
        <w:ind w:left="240"/>
        <w:spacing w:after="0"/>
        <w:tabs>
          <w:tab w:leader="none" w:pos="1740" w:val="left"/>
          <w:tab w:leader="none" w:pos="2700" w:val="left"/>
        </w:tabs>
        <w:rPr>
          <w:sz w:val="20"/>
          <w:szCs w:val="20"/>
          <w:color w:val="auto"/>
        </w:rPr>
      </w:pPr>
      <w:r>
        <w:rPr>
          <w:rFonts w:ascii="Arial" w:cs="Arial" w:eastAsia="Arial" w:hAnsi="Arial"/>
          <w:sz w:val="18"/>
          <w:szCs w:val="18"/>
          <w:color w:val="auto"/>
        </w:rPr>
        <w:t>committee.</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each satisfies the “independence” requirements of Rule 5605(a)(2) of the Nasdaq Stock Market Rules. The</w:t>
      </w:r>
    </w:p>
    <w:p>
      <w:pPr>
        <w:spacing w:after="0" w:line="8" w:lineRule="exact"/>
        <w:rPr>
          <w:sz w:val="20"/>
          <w:szCs w:val="20"/>
          <w:color w:val="auto"/>
        </w:rPr>
      </w:pPr>
    </w:p>
    <w:p>
      <w:pPr>
        <w:ind w:left="240" w:right="40"/>
        <w:spacing w:after="0" w:line="253" w:lineRule="auto"/>
        <w:rPr>
          <w:sz w:val="20"/>
          <w:szCs w:val="20"/>
          <w:color w:val="auto"/>
        </w:rPr>
      </w:pPr>
      <w:r>
        <w:rPr>
          <w:rFonts w:ascii="Arial" w:cs="Arial" w:eastAsia="Arial" w:hAnsi="Arial"/>
          <w:sz w:val="18"/>
          <w:szCs w:val="18"/>
          <w:color w:val="auto"/>
        </w:rPr>
        <w:t>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96" w:lineRule="exact"/>
        <w:rPr>
          <w:sz w:val="20"/>
          <w:szCs w:val="20"/>
          <w:color w:val="auto"/>
        </w:rPr>
      </w:pPr>
    </w:p>
    <w:p>
      <w:pPr>
        <w:ind w:left="660" w:hanging="317"/>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w:t>
      </w:r>
    </w:p>
    <w:p>
      <w:pPr>
        <w:spacing w:after="0" w:line="128" w:lineRule="exact"/>
        <w:rPr>
          <w:rFonts w:ascii="Arial" w:cs="Arial" w:eastAsia="Arial" w:hAnsi="Arial"/>
          <w:sz w:val="18"/>
          <w:szCs w:val="18"/>
          <w:color w:val="auto"/>
        </w:rPr>
      </w:pPr>
    </w:p>
    <w:p>
      <w:pPr>
        <w:ind w:left="660" w:right="240" w:hanging="317"/>
        <w:spacing w:after="0" w:line="275"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and diversity;</w:t>
      </w:r>
    </w:p>
    <w:p>
      <w:pPr>
        <w:spacing w:after="0" w:line="76" w:lineRule="exact"/>
        <w:rPr>
          <w:rFonts w:ascii="Arial" w:cs="Arial" w:eastAsia="Arial" w:hAnsi="Arial"/>
          <w:sz w:val="18"/>
          <w:szCs w:val="18"/>
          <w:color w:val="auto"/>
        </w:rPr>
      </w:pPr>
    </w:p>
    <w:p>
      <w:pPr>
        <w:ind w:left="660" w:hanging="317"/>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making recommendations on the frequency and structure of board meetings and monitoring the functioning of the committees of the board; and</w:t>
      </w:r>
    </w:p>
    <w:p>
      <w:pPr>
        <w:spacing w:after="0" w:line="17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156</w:t>
      </w:r>
    </w:p>
    <w:p>
      <w:pPr>
        <w:sectPr>
          <w:pgSz w:w="11900" w:h="16838" w:orient="portrait"/>
          <w:cols w:equalWidth="0" w:num="1">
            <w:col w:w="11180"/>
          </w:cols>
          <w:pgMar w:left="240" w:top="458"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hanging="317"/>
        <w:spacing w:after="0" w:line="262"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Duties of Directors</w:t>
      </w:r>
    </w:p>
    <w:p>
      <w:pPr>
        <w:spacing w:after="0" w:line="119" w:lineRule="exact"/>
        <w:rPr>
          <w:sz w:val="20"/>
          <w:szCs w:val="20"/>
          <w:color w:val="auto"/>
        </w:rPr>
      </w:pPr>
    </w:p>
    <w:p>
      <w:pPr>
        <w:ind w:left="240" w:right="120" w:firstLine="438"/>
        <w:spacing w:after="0" w:line="300" w:lineRule="auto"/>
        <w:rPr>
          <w:sz w:val="20"/>
          <w:szCs w:val="20"/>
          <w:color w:val="auto"/>
        </w:rPr>
      </w:pPr>
      <w:r>
        <w:rPr>
          <w:rFonts w:ascii="Arial" w:cs="Arial" w:eastAsia="Arial" w:hAnsi="Arial"/>
          <w:sz w:val="16"/>
          <w:szCs w:val="16"/>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memorandum and articles of association and the class rights vested thereunder in the holders of the shares. A shareholder may in certain circumstances have rights to damages if a duty owed by the directors is breached.</w:t>
      </w:r>
    </w:p>
    <w:p>
      <w:pPr>
        <w:spacing w:after="0" w:line="154" w:lineRule="exact"/>
        <w:rPr>
          <w:sz w:val="20"/>
          <w:szCs w:val="20"/>
          <w:color w:val="auto"/>
        </w:rPr>
      </w:pPr>
    </w:p>
    <w:p>
      <w:pPr>
        <w:ind w:left="240" w:right="520" w:firstLine="438"/>
        <w:spacing w:after="0" w:line="275"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76" w:lineRule="exact"/>
        <w:rPr>
          <w:sz w:val="20"/>
          <w:szCs w:val="20"/>
          <w:color w:val="auto"/>
        </w:rPr>
      </w:pPr>
    </w:p>
    <w:p>
      <w:pPr>
        <w:ind w:left="660" w:hanging="317"/>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28" w:lineRule="exact"/>
        <w:rPr>
          <w:rFonts w:ascii="Arial" w:cs="Arial" w:eastAsia="Arial" w:hAnsi="Arial"/>
          <w:sz w:val="18"/>
          <w:szCs w:val="18"/>
          <w:color w:val="auto"/>
        </w:rPr>
      </w:pPr>
    </w:p>
    <w:p>
      <w:pPr>
        <w:ind w:left="660" w:hanging="317"/>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28" w:lineRule="exact"/>
        <w:rPr>
          <w:rFonts w:ascii="Arial" w:cs="Arial" w:eastAsia="Arial" w:hAnsi="Arial"/>
          <w:sz w:val="18"/>
          <w:szCs w:val="18"/>
          <w:color w:val="auto"/>
        </w:rPr>
      </w:pPr>
    </w:p>
    <w:p>
      <w:pPr>
        <w:ind w:left="660" w:hanging="317"/>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28" w:lineRule="exact"/>
        <w:rPr>
          <w:rFonts w:ascii="Arial" w:cs="Arial" w:eastAsia="Arial" w:hAnsi="Arial"/>
          <w:sz w:val="18"/>
          <w:szCs w:val="18"/>
          <w:color w:val="auto"/>
        </w:rPr>
      </w:pPr>
    </w:p>
    <w:p>
      <w:pPr>
        <w:ind w:left="660" w:hanging="317"/>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28" w:lineRule="exact"/>
        <w:rPr>
          <w:rFonts w:ascii="Arial" w:cs="Arial" w:eastAsia="Arial" w:hAnsi="Arial"/>
          <w:sz w:val="18"/>
          <w:szCs w:val="18"/>
          <w:color w:val="auto"/>
        </w:rPr>
      </w:pPr>
    </w:p>
    <w:p>
      <w:pPr>
        <w:ind w:left="660" w:hanging="317"/>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Terms of Directors and Officers</w:t>
      </w:r>
    </w:p>
    <w:p>
      <w:pPr>
        <w:spacing w:after="0" w:line="119" w:lineRule="exact"/>
        <w:rPr>
          <w:sz w:val="20"/>
          <w:szCs w:val="20"/>
          <w:color w:val="auto"/>
        </w:rPr>
      </w:pPr>
    </w:p>
    <w:p>
      <w:pPr>
        <w:ind w:left="240" w:right="160" w:firstLine="438"/>
        <w:spacing w:after="0" w:line="257" w:lineRule="auto"/>
        <w:rPr>
          <w:sz w:val="20"/>
          <w:szCs w:val="20"/>
          <w:color w:val="auto"/>
        </w:rPr>
      </w:pPr>
      <w:r>
        <w:rPr>
          <w:rFonts w:ascii="Arial" w:cs="Arial" w:eastAsia="Arial" w:hAnsi="Arial"/>
          <w:sz w:val="18"/>
          <w:szCs w:val="18"/>
          <w:color w:val="auto"/>
        </w:rPr>
        <w:t>Our officers are elected by and serve at the discretion of the board of directors. Our directors are not subject to a term of office and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or (ii) is found by our company to be or becomes of unsound mind.</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19" w:lineRule="exact"/>
        <w:rPr>
          <w:sz w:val="20"/>
          <w:szCs w:val="20"/>
          <w:color w:val="auto"/>
        </w:rPr>
      </w:pPr>
    </w:p>
    <w:p>
      <w:pPr>
        <w:ind w:left="240" w:firstLine="438"/>
        <w:spacing w:after="0" w:line="292" w:lineRule="auto"/>
        <w:rPr>
          <w:sz w:val="20"/>
          <w:szCs w:val="20"/>
          <w:color w:val="auto"/>
        </w:rPr>
      </w:pPr>
      <w:r>
        <w:rPr>
          <w:rFonts w:ascii="Arial" w:cs="Arial" w:eastAsia="Arial" w:hAnsi="Arial"/>
          <w:sz w:val="16"/>
          <w:szCs w:val="16"/>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61" w:lineRule="exact"/>
        <w:rPr>
          <w:sz w:val="20"/>
          <w:szCs w:val="20"/>
          <w:color w:val="auto"/>
        </w:rPr>
      </w:pPr>
    </w:p>
    <w:p>
      <w:pPr>
        <w:ind w:left="240" w:right="20" w:firstLine="438"/>
        <w:spacing w:after="0" w:line="253" w:lineRule="auto"/>
        <w:rPr>
          <w:sz w:val="20"/>
          <w:szCs w:val="20"/>
          <w:color w:val="auto"/>
        </w:rPr>
      </w:pPr>
      <w:r>
        <w:rPr>
          <w:rFonts w:ascii="Arial" w:cs="Arial" w:eastAsia="Arial" w:hAnsi="Arial"/>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240" w:top="458"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 w:firstLine="438"/>
        <w:spacing w:after="0" w:line="290"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62" w:lineRule="exact"/>
        <w:rPr>
          <w:sz w:val="20"/>
          <w:szCs w:val="20"/>
          <w:color w:val="auto"/>
        </w:rPr>
      </w:pPr>
    </w:p>
    <w:p>
      <w:pPr>
        <w:jc w:val="both"/>
        <w:ind w:left="240" w:right="380" w:firstLine="438"/>
        <w:spacing w:after="0" w:line="262"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19" w:lineRule="exact"/>
        <w:rPr>
          <w:sz w:val="20"/>
          <w:szCs w:val="20"/>
          <w:color w:val="auto"/>
        </w:rPr>
      </w:pPr>
    </w:p>
    <w:p>
      <w:pPr>
        <w:ind w:left="240" w:right="20" w:firstLine="438"/>
        <w:spacing w:after="0" w:line="270" w:lineRule="auto"/>
        <w:rPr>
          <w:sz w:val="20"/>
          <w:szCs w:val="20"/>
          <w:color w:val="auto"/>
        </w:rPr>
      </w:pPr>
      <w:r>
        <w:rPr>
          <w:rFonts w:ascii="Arial" w:cs="Arial" w:eastAsia="Arial" w:hAnsi="Arial"/>
          <w:sz w:val="17"/>
          <w:szCs w:val="17"/>
          <w:color w:val="auto"/>
        </w:rPr>
        <w:t>For the fiscal year ended December 31, 2017, we paid an aggregate of approximately HK$4.9 million (US$0.6 million) in cash to our executive officers, and we did not pay any compensation to our non-executive directors. We have not set aside or accrued any amount to provide pension, retirement or other similar benefits to our executive officers and directors. Our PRC subsidiaries and VIE are required by law to make contributions equal to certain percentages of each employee’s salary for his or her medical insurance, maternity insurance, workplace injury insurance, unemployment insurance, pension benefits through a PRC government-mandated multi-employer defined contribution plan and other statutory benefits. Our Hong Kong subsidiaries are required by the Hong Kong Mandatory Provident Fund Schemes Ordinance to make monthly contributions to the mandatory provident fund scheme in an amount equal to at least 5% of an employee’s salary.</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2014 Share Incentive Plan</w:t>
      </w:r>
    </w:p>
    <w:p>
      <w:pPr>
        <w:spacing w:after="0" w:line="119" w:lineRule="exact"/>
        <w:rPr>
          <w:sz w:val="20"/>
          <w:szCs w:val="20"/>
          <w:color w:val="auto"/>
        </w:rPr>
      </w:pPr>
    </w:p>
    <w:p>
      <w:pPr>
        <w:ind w:left="240" w:firstLine="438"/>
        <w:spacing w:after="0" w:line="274" w:lineRule="auto"/>
        <w:rPr>
          <w:sz w:val="20"/>
          <w:szCs w:val="20"/>
          <w:color w:val="auto"/>
        </w:rPr>
      </w:pPr>
      <w:r>
        <w:rPr>
          <w:rFonts w:ascii="Arial" w:cs="Arial" w:eastAsia="Arial" w:hAnsi="Arial"/>
          <w:sz w:val="17"/>
          <w:szCs w:val="17"/>
          <w:color w:val="auto"/>
        </w:rPr>
        <w:t>In October 2014, our board of directors approved a 2014 share incentive plan, which we refer to as the 2014 Plan, to attract and retain the best available personnel, provide additional incentives to employees, directors and consultants and promote the success of our business. As of the date of this prospectus, the maximum aggregate number of ordinary shares which may be issued pursuant to all awards under the 2014 Plan is 135,032,132 ordinary shares, subject to amendment. As of the date of this prospectus, awards to purchase 111,655,465 ordinary shares under the 2014 Share Plan have been granted and outstanding, excluding awards that were forfeited or cancelled after the relevant grant dates.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paragraphs describe the principal terms of the 2014 Plan.</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2014 Plan permits the awards of options approved by the plan administrator.</w:t>
      </w:r>
    </w:p>
    <w:p>
      <w:pPr>
        <w:spacing w:after="0" w:line="223" w:lineRule="exact"/>
        <w:rPr>
          <w:sz w:val="20"/>
          <w:szCs w:val="20"/>
          <w:color w:val="auto"/>
        </w:rPr>
      </w:pPr>
    </w:p>
    <w:p>
      <w:pPr>
        <w:ind w:left="240" w:firstLine="438"/>
        <w:spacing w:after="0" w:line="300"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committee of one or more members appointed by our board of directors or another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within its delegated authority by our board of directors will administer the 2014 Plan. Subject to the terms of the 2014 Plan and in the case of the committee, the specific duties delegated by our board of directors to the committee, the plan administrator has the authority to determine the participants to receive awards, the type and number of awards to be granted to each participant, and the terms and conditions of each award, among others.</w:t>
      </w:r>
    </w:p>
    <w:p>
      <w:pPr>
        <w:spacing w:after="0" w:line="154" w:lineRule="exact"/>
        <w:rPr>
          <w:sz w:val="20"/>
          <w:szCs w:val="20"/>
          <w:color w:val="auto"/>
        </w:rPr>
      </w:pPr>
    </w:p>
    <w:p>
      <w:pPr>
        <w:ind w:left="240" w:right="140" w:firstLine="438"/>
        <w:spacing w:after="0" w:line="262" w:lineRule="auto"/>
        <w:rPr>
          <w:sz w:val="20"/>
          <w:szCs w:val="20"/>
          <w:color w:val="auto"/>
        </w:rPr>
      </w:pPr>
      <w:r>
        <w:rPr>
          <w:rFonts w:ascii="Arial" w:cs="Arial" w:eastAsia="Arial" w:hAnsi="Arial"/>
          <w:sz w:val="18"/>
          <w:szCs w:val="18"/>
          <w:i w:val="1"/>
          <w:iCs w:val="1"/>
          <w:color w:val="auto"/>
        </w:rPr>
        <w:t>Award agreement</w:t>
      </w:r>
      <w:r>
        <w:rPr>
          <w:rFonts w:ascii="Arial" w:cs="Arial" w:eastAsia="Arial" w:hAnsi="Arial"/>
          <w:sz w:val="18"/>
          <w:szCs w:val="18"/>
          <w:color w:val="auto"/>
        </w:rPr>
        <w:t>. Awards granted under the 2014 Plan are evidenced by an award agreement that sets forth terms, conditions and limitations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award, which may include the term of the award, the provisions applicable in the event that the grantee’s employment or service terminates, and our authority to unilaterally or bilaterally amend, modify, suspend, cancel or rescind the award.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60"/>
          </w:cols>
          <w:pgMar w:left="240" w:top="458"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We may grant awards to, among others, our officers, employees, directors and consultants of our company.</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Vesting schedule</w:t>
      </w:r>
      <w:r>
        <w:rPr>
          <w:rFonts w:ascii="Arial" w:cs="Arial" w:eastAsia="Arial" w:hAnsi="Arial"/>
          <w:sz w:val="17"/>
          <w:szCs w:val="17"/>
          <w:color w:val="auto"/>
        </w:rPr>
        <w:t>. In general, the plan administrator determines the vesting schedule, which is specified in the relevant award agreement.</w:t>
      </w:r>
    </w:p>
    <w:p>
      <w:pPr>
        <w:spacing w:after="0" w:line="234" w:lineRule="exact"/>
        <w:rPr>
          <w:sz w:val="20"/>
          <w:szCs w:val="20"/>
          <w:color w:val="auto"/>
        </w:rPr>
      </w:pPr>
    </w:p>
    <w:p>
      <w:pPr>
        <w:jc w:val="both"/>
        <w:ind w:left="240" w:right="460" w:firstLine="438"/>
        <w:spacing w:after="0" w:line="262" w:lineRule="auto"/>
        <w:rPr>
          <w:sz w:val="20"/>
          <w:szCs w:val="20"/>
          <w:color w:val="auto"/>
        </w:rPr>
      </w:pPr>
      <w:r>
        <w:rPr>
          <w:rFonts w:ascii="Arial" w:cs="Arial" w:eastAsia="Arial" w:hAnsi="Arial"/>
          <w:sz w:val="18"/>
          <w:szCs w:val="18"/>
          <w:i w:val="1"/>
          <w:iCs w:val="1"/>
          <w:color w:val="auto"/>
        </w:rPr>
        <w:t>Exercise of options</w:t>
      </w:r>
      <w:r>
        <w:rPr>
          <w:rFonts w:ascii="Arial" w:cs="Arial" w:eastAsia="Arial" w:hAnsi="Arial"/>
          <w:sz w:val="18"/>
          <w:szCs w:val="18"/>
          <w:color w:val="auto"/>
        </w:rPr>
        <w:t>. The plan administrator determines the exercise price for each award, which is stated in the award agreement. The vested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option will expire if not exercised prior to the time as the plan administrator determines at the time of its grant. However, the maximum exercisable term is ten years from the date of a grant.</w:t>
      </w:r>
    </w:p>
    <w:p>
      <w:pPr>
        <w:spacing w:after="0" w:line="181" w:lineRule="exact"/>
        <w:rPr>
          <w:sz w:val="20"/>
          <w:szCs w:val="20"/>
          <w:color w:val="auto"/>
        </w:rPr>
      </w:pPr>
    </w:p>
    <w:p>
      <w:pPr>
        <w:ind w:left="240" w:right="40" w:firstLine="438"/>
        <w:spacing w:after="0" w:line="262" w:lineRule="auto"/>
        <w:rPr>
          <w:sz w:val="20"/>
          <w:szCs w:val="20"/>
          <w:color w:val="auto"/>
        </w:rPr>
      </w:pPr>
      <w:r>
        <w:rPr>
          <w:rFonts w:ascii="Arial" w:cs="Arial" w:eastAsia="Arial" w:hAnsi="Arial"/>
          <w:sz w:val="18"/>
          <w:szCs w:val="18"/>
          <w:i w:val="1"/>
          <w:iCs w:val="1"/>
          <w:color w:val="auto"/>
        </w:rPr>
        <w:t>Transfer restrictions</w:t>
      </w:r>
      <w:r>
        <w:rPr>
          <w:rFonts w:ascii="Arial" w:cs="Arial" w:eastAsia="Arial" w:hAnsi="Arial"/>
          <w:sz w:val="18"/>
          <w:szCs w:val="18"/>
          <w:color w:val="auto"/>
        </w:rPr>
        <w:t>. Awards may not be transferred in any manner by the participant other than in accordance with the exceptions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2014 Plan, such as transfers by will or the laws of descent and distribution, or as provided in the relevant award agreement or otherwise determined by the plan administrator.</w:t>
      </w:r>
    </w:p>
    <w:p>
      <w:pPr>
        <w:spacing w:after="0" w:line="181" w:lineRule="exact"/>
        <w:rPr>
          <w:sz w:val="20"/>
          <w:szCs w:val="20"/>
          <w:color w:val="auto"/>
        </w:rPr>
      </w:pPr>
    </w:p>
    <w:p>
      <w:pPr>
        <w:ind w:left="240" w:right="200" w:firstLine="438"/>
        <w:spacing w:after="0" w:line="300" w:lineRule="auto"/>
        <w:rPr>
          <w:sz w:val="20"/>
          <w:szCs w:val="20"/>
          <w:color w:val="auto"/>
        </w:rPr>
      </w:pPr>
      <w:r>
        <w:rPr>
          <w:rFonts w:ascii="Arial" w:cs="Arial" w:eastAsia="Arial" w:hAnsi="Arial"/>
          <w:sz w:val="16"/>
          <w:szCs w:val="16"/>
          <w:i w:val="1"/>
          <w:iCs w:val="1"/>
          <w:color w:val="auto"/>
        </w:rPr>
        <w:t>Termination and amendment of the 2014 Plan</w:t>
      </w:r>
      <w:r>
        <w:rPr>
          <w:rFonts w:ascii="Arial" w:cs="Arial" w:eastAsia="Arial" w:hAnsi="Arial"/>
          <w:sz w:val="16"/>
          <w:szCs w:val="16"/>
          <w:color w:val="auto"/>
        </w:rPr>
        <w:t>. Unless terminated earlier, the 2014 Plan has a term of ten years. Our board of directors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terminate, amend or modify the plan. No amendment, suspension or termination of the 2014 Plan or amendment of any outstanding award granted pursuant to the 2014 Plan may affect, in any manner materially adverse to the participant, any rights or benefits of the participant or the obligation of the company under the applicable awards previously granted pursuant to the 2014 Plan unless agreed by the participant in writing.</w:t>
      </w:r>
    </w:p>
    <w:p>
      <w:pPr>
        <w:spacing w:after="0" w:line="154" w:lineRule="exact"/>
        <w:rPr>
          <w:sz w:val="20"/>
          <w:szCs w:val="20"/>
          <w:color w:val="auto"/>
        </w:rPr>
      </w:pPr>
    </w:p>
    <w:p>
      <w:pPr>
        <w:ind w:left="240" w:right="20" w:firstLine="438"/>
        <w:spacing w:after="0" w:line="275" w:lineRule="auto"/>
        <w:rPr>
          <w:sz w:val="20"/>
          <w:szCs w:val="20"/>
          <w:color w:val="auto"/>
        </w:rPr>
      </w:pPr>
      <w:r>
        <w:rPr>
          <w:rFonts w:ascii="Arial" w:cs="Arial" w:eastAsia="Arial" w:hAnsi="Arial"/>
          <w:sz w:val="18"/>
          <w:szCs w:val="18"/>
          <w:color w:val="auto"/>
        </w:rPr>
        <w:t>The following table summarizes, as of the date of this prospectus, the options granted under the 2014 Plan, excluding awards that were forfeited or cancelled after the relevant grant dates.</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Ordinary Shares</w:t>
            </w:r>
          </w:p>
        </w:tc>
        <w:tc>
          <w:tcPr>
            <w:tcW w:w="200" w:type="dxa"/>
            <w:vAlign w:val="bottom"/>
          </w:tcPr>
          <w:p>
            <w:pPr>
              <w:spacing w:after="0"/>
              <w:rPr>
                <w:sz w:val="14"/>
                <w:szCs w:val="14"/>
                <w:color w:val="auto"/>
              </w:rPr>
            </w:pPr>
          </w:p>
        </w:tc>
        <w:tc>
          <w:tcPr>
            <w:tcW w:w="21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440" w:type="dxa"/>
            <w:vAlign w:val="bottom"/>
            <w:gridSpan w:val="2"/>
            <w:vMerge w:val="restart"/>
          </w:tcPr>
          <w:p>
            <w:pPr>
              <w:spacing w:after="0"/>
              <w:rPr>
                <w:sz w:val="12"/>
                <w:szCs w:val="12"/>
                <w:color w:val="auto"/>
              </w:rPr>
            </w:pPr>
          </w:p>
        </w:tc>
        <w:tc>
          <w:tcPr>
            <w:tcW w:w="204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Underlying Options</w:t>
            </w:r>
          </w:p>
        </w:tc>
        <w:tc>
          <w:tcPr>
            <w:tcW w:w="20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0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Date of Grant</w:t>
            </w:r>
          </w:p>
        </w:tc>
        <w:tc>
          <w:tcPr>
            <w:tcW w:w="17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90"/>
        </w:trPr>
        <w:tc>
          <w:tcPr>
            <w:tcW w:w="360" w:type="dxa"/>
            <w:vAlign w:val="bottom"/>
            <w:tcBorders>
              <w:bottom w:val="single" w:sz="8" w:color="auto"/>
            </w:tcBorders>
            <w:vMerge w:val="continue"/>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Awarded</w:t>
            </w:r>
          </w:p>
        </w:tc>
        <w:tc>
          <w:tcPr>
            <w:tcW w:w="200" w:type="dxa"/>
            <w:vAlign w:val="bottom"/>
          </w:tcPr>
          <w:p>
            <w:pPr>
              <w:spacing w:after="0"/>
              <w:rPr>
                <w:sz w:val="16"/>
                <w:szCs w:val="16"/>
                <w:color w:val="auto"/>
              </w:rPr>
            </w:pPr>
          </w:p>
        </w:tc>
        <w:tc>
          <w:tcPr>
            <w:tcW w:w="2160" w:type="dxa"/>
            <w:vAlign w:val="bottom"/>
            <w:gridSpan w:val="2"/>
          </w:tcPr>
          <w:p>
            <w:pPr>
              <w:ind w:left="660"/>
              <w:spacing w:after="0"/>
              <w:rPr>
                <w:sz w:val="20"/>
                <w:szCs w:val="20"/>
                <w:color w:val="auto"/>
              </w:rPr>
            </w:pPr>
            <w:r>
              <w:rPr>
                <w:rFonts w:ascii="Arial" w:cs="Arial" w:eastAsia="Arial" w:hAnsi="Arial"/>
                <w:sz w:val="14"/>
                <w:szCs w:val="14"/>
                <w:b w:val="1"/>
                <w:bCs w:val="1"/>
                <w:color w:val="auto"/>
              </w:rPr>
              <w:t>(US$/Share)</w:t>
            </w:r>
          </w:p>
        </w:tc>
        <w:tc>
          <w:tcPr>
            <w:tcW w:w="202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gridSpan w:val="3"/>
          </w:tcPr>
          <w:p>
            <w:pPr>
              <w:spacing w:after="0" w:line="188" w:lineRule="exact"/>
              <w:rPr>
                <w:sz w:val="20"/>
                <w:szCs w:val="20"/>
                <w:color w:val="auto"/>
              </w:rPr>
            </w:pPr>
            <w:r>
              <w:rPr>
                <w:rFonts w:ascii="Arial" w:cs="Arial" w:eastAsia="Arial" w:hAnsi="Arial"/>
                <w:sz w:val="18"/>
                <w:szCs w:val="18"/>
                <w:color w:val="auto"/>
              </w:rPr>
              <w:t>Ppchen Weihua Chen</w:t>
            </w:r>
          </w:p>
        </w:tc>
        <w:tc>
          <w:tcPr>
            <w:tcW w:w="202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14,737,220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Borders>
              <w:top w:val="single" w:sz="8" w:color="auto"/>
            </w:tcBorders>
          </w:tcPr>
          <w:p>
            <w:pPr>
              <w:ind w:left="1420"/>
              <w:spacing w:after="0" w:line="188" w:lineRule="exact"/>
              <w:rPr>
                <w:sz w:val="20"/>
                <w:szCs w:val="20"/>
                <w:color w:val="auto"/>
              </w:rPr>
            </w:pPr>
            <w:r>
              <w:rPr>
                <w:rFonts w:ascii="Arial" w:cs="Arial" w:eastAsia="Arial" w:hAnsi="Arial"/>
                <w:sz w:val="18"/>
                <w:szCs w:val="18"/>
                <w:color w:val="auto"/>
                <w:w w:val="90"/>
              </w:rPr>
              <w:t>Nominal</w:t>
            </w:r>
          </w:p>
        </w:tc>
        <w:tc>
          <w:tcPr>
            <w:tcW w:w="120" w:type="dxa"/>
            <w:vAlign w:val="bottom"/>
          </w:tcPr>
          <w:p>
            <w:pPr>
              <w:spacing w:after="0"/>
              <w:rPr>
                <w:sz w:val="16"/>
                <w:szCs w:val="16"/>
                <w:color w:val="auto"/>
              </w:rPr>
            </w:pPr>
          </w:p>
        </w:tc>
        <w:tc>
          <w:tcPr>
            <w:tcW w:w="180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July 1, 2015</w:t>
            </w:r>
          </w:p>
        </w:tc>
        <w:tc>
          <w:tcPr>
            <w:tcW w:w="220" w:type="dxa"/>
            <w:vAlign w:val="bottom"/>
          </w:tcPr>
          <w:p>
            <w:pPr>
              <w:spacing w:after="0"/>
              <w:rPr>
                <w:sz w:val="16"/>
                <w:szCs w:val="16"/>
                <w:color w:val="auto"/>
              </w:rPr>
            </w:pPr>
          </w:p>
        </w:tc>
        <w:tc>
          <w:tcPr>
            <w:tcW w:w="1740" w:type="dxa"/>
            <w:vAlign w:val="bottom"/>
            <w:tcBorders>
              <w:top w:val="single" w:sz="8" w:color="auto"/>
            </w:tcBorders>
          </w:tcPr>
          <w:p>
            <w:pPr>
              <w:ind w:left="480"/>
              <w:spacing w:after="0" w:line="188" w:lineRule="exact"/>
              <w:rPr>
                <w:sz w:val="20"/>
                <w:szCs w:val="20"/>
                <w:color w:val="auto"/>
              </w:rPr>
            </w:pPr>
            <w:r>
              <w:rPr>
                <w:rFonts w:ascii="Arial" w:cs="Arial" w:eastAsia="Arial" w:hAnsi="Arial"/>
                <w:sz w:val="18"/>
                <w:szCs w:val="18"/>
                <w:color w:val="auto"/>
                <w:w w:val="89"/>
              </w:rPr>
              <w:t>October 30,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0" w:type="dxa"/>
            <w:vAlign w:val="bottom"/>
            <w:gridSpan w:val="3"/>
          </w:tcPr>
          <w:p>
            <w:pPr>
              <w:spacing w:after="0"/>
              <w:rPr>
                <w:sz w:val="20"/>
                <w:szCs w:val="20"/>
                <w:color w:val="auto"/>
              </w:rPr>
            </w:pPr>
            <w:r>
              <w:rPr>
                <w:rFonts w:ascii="Arial" w:cs="Arial" w:eastAsia="Arial" w:hAnsi="Arial"/>
                <w:sz w:val="18"/>
                <w:szCs w:val="18"/>
                <w:color w:val="auto"/>
              </w:rPr>
              <w:t>Nineway Jie Zhang</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8,075,000</w:t>
            </w:r>
          </w:p>
        </w:tc>
        <w:tc>
          <w:tcPr>
            <w:tcW w:w="200" w:type="dxa"/>
            <w:vAlign w:val="bottom"/>
          </w:tcPr>
          <w:p>
            <w:pPr>
              <w:spacing w:after="0"/>
              <w:rPr>
                <w:sz w:val="18"/>
                <w:szCs w:val="18"/>
                <w:color w:val="auto"/>
              </w:rPr>
            </w:pPr>
          </w:p>
        </w:tc>
        <w:tc>
          <w:tcPr>
            <w:tcW w:w="2160" w:type="dxa"/>
            <w:vAlign w:val="bottom"/>
            <w:gridSpan w:val="2"/>
          </w:tcPr>
          <w:p>
            <w:pPr>
              <w:ind w:left="1420"/>
              <w:spacing w:after="0"/>
              <w:rPr>
                <w:sz w:val="20"/>
                <w:szCs w:val="20"/>
                <w:color w:val="auto"/>
              </w:rPr>
            </w:pPr>
            <w:r>
              <w:rPr>
                <w:rFonts w:ascii="Arial" w:cs="Arial" w:eastAsia="Arial" w:hAnsi="Arial"/>
                <w:sz w:val="18"/>
                <w:szCs w:val="18"/>
                <w:color w:val="auto"/>
              </w:rPr>
              <w:t>Nominal</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November 1, 2014</w:t>
            </w:r>
          </w:p>
        </w:tc>
        <w:tc>
          <w:tcPr>
            <w:tcW w:w="1760" w:type="dxa"/>
            <w:vAlign w:val="bottom"/>
            <w:gridSpan w:val="2"/>
          </w:tcPr>
          <w:p>
            <w:pPr>
              <w:ind w:left="480"/>
              <w:spacing w:after="0"/>
              <w:rPr>
                <w:sz w:val="20"/>
                <w:szCs w:val="20"/>
                <w:color w:val="auto"/>
              </w:rPr>
            </w:pPr>
            <w:r>
              <w:rPr>
                <w:rFonts w:ascii="Arial" w:cs="Arial" w:eastAsia="Arial" w:hAnsi="Arial"/>
                <w:sz w:val="18"/>
                <w:szCs w:val="18"/>
                <w:color w:val="auto"/>
                <w:w w:val="90"/>
              </w:rPr>
              <w:t>October 30, 2024</w:t>
            </w:r>
          </w:p>
        </w:tc>
        <w:tc>
          <w:tcPr>
            <w:tcW w:w="0" w:type="dxa"/>
            <w:vAlign w:val="bottom"/>
          </w:tcPr>
          <w:p>
            <w:pPr>
              <w:spacing w:after="0"/>
              <w:rPr>
                <w:sz w:val="1"/>
                <w:szCs w:val="1"/>
                <w:color w:val="auto"/>
              </w:rPr>
            </w:pPr>
          </w:p>
        </w:tc>
      </w:tr>
      <w:tr>
        <w:trPr>
          <w:trHeight w:val="229"/>
        </w:trPr>
        <w:tc>
          <w:tcPr>
            <w:tcW w:w="2800" w:type="dxa"/>
            <w:vAlign w:val="bottom"/>
            <w:gridSpan w:val="3"/>
          </w:tcPr>
          <w:p>
            <w:pPr>
              <w:spacing w:after="0"/>
              <w:rPr>
                <w:sz w:val="20"/>
                <w:szCs w:val="20"/>
                <w:color w:val="auto"/>
              </w:rPr>
            </w:pPr>
            <w:r>
              <w:rPr>
                <w:rFonts w:ascii="Arial" w:cs="Arial" w:eastAsia="Arial" w:hAnsi="Arial"/>
                <w:sz w:val="18"/>
                <w:szCs w:val="18"/>
                <w:color w:val="auto"/>
              </w:rPr>
              <w:t>Robin Li Xu</w:t>
            </w:r>
          </w:p>
        </w:tc>
        <w:tc>
          <w:tcPr>
            <w:tcW w:w="2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160" w:type="dxa"/>
            <w:vAlign w:val="bottom"/>
            <w:gridSpan w:val="2"/>
          </w:tcPr>
          <w:p>
            <w:pPr>
              <w:ind w:left="1420"/>
              <w:spacing w:after="0"/>
              <w:rPr>
                <w:sz w:val="20"/>
                <w:szCs w:val="20"/>
                <w:color w:val="auto"/>
              </w:rPr>
            </w:pPr>
            <w:r>
              <w:rPr>
                <w:rFonts w:ascii="Arial" w:cs="Arial" w:eastAsia="Arial" w:hAnsi="Arial"/>
                <w:sz w:val="18"/>
                <w:szCs w:val="18"/>
                <w:color w:val="auto"/>
              </w:rPr>
              <w:t>Nominal</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November 1, 2014</w:t>
            </w:r>
          </w:p>
        </w:tc>
        <w:tc>
          <w:tcPr>
            <w:tcW w:w="1760" w:type="dxa"/>
            <w:vAlign w:val="bottom"/>
            <w:gridSpan w:val="2"/>
          </w:tcPr>
          <w:p>
            <w:pPr>
              <w:ind w:left="480"/>
              <w:spacing w:after="0"/>
              <w:rPr>
                <w:sz w:val="20"/>
                <w:szCs w:val="20"/>
                <w:color w:val="auto"/>
              </w:rPr>
            </w:pPr>
            <w:r>
              <w:rPr>
                <w:rFonts w:ascii="Arial" w:cs="Arial" w:eastAsia="Arial" w:hAnsi="Arial"/>
                <w:sz w:val="18"/>
                <w:szCs w:val="18"/>
                <w:color w:val="auto"/>
                <w:w w:val="90"/>
              </w:rPr>
              <w:t>October 30, 2024</w:t>
            </w:r>
          </w:p>
        </w:tc>
        <w:tc>
          <w:tcPr>
            <w:tcW w:w="0" w:type="dxa"/>
            <w:vAlign w:val="bottom"/>
          </w:tcPr>
          <w:p>
            <w:pPr>
              <w:spacing w:after="0"/>
              <w:rPr>
                <w:sz w:val="1"/>
                <w:szCs w:val="1"/>
                <w:color w:val="auto"/>
              </w:rPr>
            </w:pPr>
          </w:p>
        </w:tc>
      </w:tr>
      <w:tr>
        <w:trPr>
          <w:trHeight w:val="222"/>
        </w:trPr>
        <w:tc>
          <w:tcPr>
            <w:tcW w:w="2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111,655,465</w:t>
            </w:r>
          </w:p>
        </w:tc>
        <w:tc>
          <w:tcPr>
            <w:tcW w:w="200" w:type="dxa"/>
            <w:vAlign w:val="bottom"/>
          </w:tcPr>
          <w:p>
            <w:pPr>
              <w:spacing w:after="0"/>
              <w:rPr>
                <w:sz w:val="19"/>
                <w:szCs w:val="19"/>
                <w:color w:val="auto"/>
              </w:rPr>
            </w:pPr>
          </w:p>
        </w:tc>
        <w:tc>
          <w:tcPr>
            <w:tcW w:w="2160" w:type="dxa"/>
            <w:vAlign w:val="bottom"/>
            <w:gridSpan w:val="2"/>
          </w:tcPr>
          <w:p>
            <w:pPr>
              <w:ind w:left="1420"/>
              <w:spacing w:after="0"/>
              <w:rPr>
                <w:sz w:val="20"/>
                <w:szCs w:val="20"/>
                <w:color w:val="auto"/>
              </w:rPr>
            </w:pPr>
            <w:r>
              <w:rPr>
                <w:rFonts w:ascii="Arial" w:cs="Arial" w:eastAsia="Arial" w:hAnsi="Arial"/>
                <w:sz w:val="18"/>
                <w:szCs w:val="18"/>
                <w:color w:val="auto"/>
              </w:rPr>
              <w:t>Nominal</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7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Less than 1% of our total ordinary shares outstanding.</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240" w:top="457"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[AND SELLING] SHAREHOLDERS</w:t>
      </w:r>
    </w:p>
    <w:p>
      <w:pPr>
        <w:spacing w:after="0" w:line="119" w:lineRule="exact"/>
        <w:rPr>
          <w:sz w:val="20"/>
          <w:szCs w:val="20"/>
          <w:color w:val="auto"/>
        </w:rPr>
      </w:pPr>
    </w:p>
    <w:p>
      <w:pPr>
        <w:ind w:left="240" w:right="320" w:firstLine="438"/>
        <w:spacing w:after="0" w:line="275"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the date of this prospectus by:</w:t>
      </w:r>
    </w:p>
    <w:p>
      <w:pPr>
        <w:spacing w:after="0" w:line="76" w:lineRule="exact"/>
        <w:rPr>
          <w:sz w:val="20"/>
          <w:szCs w:val="20"/>
          <w:color w:val="auto"/>
        </w:rPr>
      </w:pPr>
    </w:p>
    <w:p>
      <w:pPr>
        <w:ind w:left="1100" w:hanging="327"/>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ordinary shares.</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calculations in the table below are based on 781,681,094 ordinary shares on a pro forma basis outstanding as of the date of this prospectus,</w:t>
      </w:r>
    </w:p>
    <w:p>
      <w:pPr>
        <w:spacing w:after="0" w:line="45" w:lineRule="exact"/>
        <w:rPr>
          <w:sz w:val="20"/>
          <w:szCs w:val="20"/>
          <w:color w:val="auto"/>
        </w:rPr>
      </w:pPr>
    </w:p>
    <w:p>
      <w:pPr>
        <w:ind w:left="240" w:right="520"/>
        <w:spacing w:after="0" w:line="258" w:lineRule="auto"/>
        <w:rPr>
          <w:sz w:val="20"/>
          <w:szCs w:val="20"/>
          <w:color w:val="auto"/>
        </w:rPr>
      </w:pPr>
      <w:r>
        <w:rPr>
          <w:rFonts w:ascii="Arial" w:cs="Arial" w:eastAsia="Arial" w:hAnsi="Arial"/>
          <w:sz w:val="18"/>
          <w:szCs w:val="18"/>
          <w:color w:val="auto"/>
        </w:rPr>
        <w:t>and ordinary shares outstanding immediately after the completion of this offering, assuming the underwriters do not exercise their over-allotment option.</w:t>
      </w:r>
    </w:p>
    <w:p>
      <w:pPr>
        <w:spacing w:after="0" w:line="185" w:lineRule="exact"/>
        <w:rPr>
          <w:sz w:val="20"/>
          <w:szCs w:val="20"/>
          <w:color w:val="auto"/>
        </w:rPr>
      </w:pPr>
    </w:p>
    <w:p>
      <w:pPr>
        <w:ind w:left="240" w:right="240" w:firstLine="438"/>
        <w:spacing w:after="0" w:line="257"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56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93"/>
              </w:rPr>
              <w:t>Ordinary Shares</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2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3"/>
              </w:rPr>
              <w:t>Ordinary Shares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5860" w:type="dxa"/>
            <w:vAlign w:val="bottom"/>
          </w:tcPr>
          <w:p>
            <w:pPr>
              <w:spacing w:after="0"/>
              <w:rPr>
                <w:sz w:val="12"/>
                <w:szCs w:val="12"/>
                <w:color w:val="auto"/>
              </w:rPr>
            </w:pPr>
          </w:p>
        </w:tc>
        <w:tc>
          <w:tcPr>
            <w:tcW w:w="1560" w:type="dxa"/>
            <w:vAlign w:val="bottom"/>
            <w:gridSpan w:val="3"/>
          </w:tcPr>
          <w:p>
            <w:pPr>
              <w:jc w:val="center"/>
              <w:ind w:left="256"/>
              <w:spacing w:after="0" w:line="148" w:lineRule="exact"/>
              <w:rPr>
                <w:sz w:val="20"/>
                <w:szCs w:val="20"/>
                <w:color w:val="auto"/>
              </w:rPr>
            </w:pPr>
            <w:r>
              <w:rPr>
                <w:rFonts w:ascii="Arial" w:cs="Arial" w:eastAsia="Arial" w:hAnsi="Arial"/>
                <w:sz w:val="14"/>
                <w:szCs w:val="14"/>
                <w:b w:val="1"/>
                <w:bCs w:val="1"/>
                <w:color w:val="auto"/>
                <w:w w:val="91"/>
              </w:rPr>
              <w:t>Beneficially Owned</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3"/>
          </w:tcPr>
          <w:p>
            <w:pPr>
              <w:jc w:val="center"/>
              <w:ind w:left="128"/>
              <w:spacing w:after="0" w:line="148" w:lineRule="exact"/>
              <w:rPr>
                <w:sz w:val="20"/>
                <w:szCs w:val="20"/>
                <w:color w:val="auto"/>
              </w:rPr>
            </w:pPr>
            <w:r>
              <w:rPr>
                <w:rFonts w:ascii="Arial" w:cs="Arial" w:eastAsia="Arial" w:hAnsi="Arial"/>
                <w:sz w:val="14"/>
                <w:szCs w:val="14"/>
                <w:b w:val="1"/>
                <w:bCs w:val="1"/>
                <w:color w:val="auto"/>
                <w:w w:val="89"/>
              </w:rPr>
              <w:t>Beneficially</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5860" w:type="dxa"/>
            <w:vAlign w:val="bottom"/>
          </w:tcPr>
          <w:p>
            <w:pPr>
              <w:spacing w:after="0"/>
              <w:rPr>
                <w:sz w:val="12"/>
                <w:szCs w:val="12"/>
                <w:color w:val="auto"/>
              </w:rPr>
            </w:pPr>
          </w:p>
        </w:tc>
        <w:tc>
          <w:tcPr>
            <w:tcW w:w="1560" w:type="dxa"/>
            <w:vAlign w:val="bottom"/>
            <w:gridSpan w:val="3"/>
          </w:tcPr>
          <w:p>
            <w:pPr>
              <w:jc w:val="center"/>
              <w:ind w:left="256"/>
              <w:spacing w:after="0" w:line="148" w:lineRule="exact"/>
              <w:rPr>
                <w:sz w:val="20"/>
                <w:szCs w:val="20"/>
                <w:color w:val="auto"/>
              </w:rPr>
            </w:pPr>
            <w:r>
              <w:rPr>
                <w:rFonts w:ascii="Arial" w:cs="Arial" w:eastAsia="Arial" w:hAnsi="Arial"/>
                <w:sz w:val="14"/>
                <w:szCs w:val="14"/>
                <w:b w:val="1"/>
                <w:bCs w:val="1"/>
                <w:color w:val="auto"/>
                <w:w w:val="94"/>
              </w:rPr>
              <w:t>Prior to This</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5"/>
          </w:tcPr>
          <w:p>
            <w:pPr>
              <w:jc w:val="center"/>
              <w:ind w:right="40"/>
              <w:spacing w:after="0" w:line="148" w:lineRule="exact"/>
              <w:rPr>
                <w:sz w:val="20"/>
                <w:szCs w:val="20"/>
                <w:color w:val="auto"/>
              </w:rPr>
            </w:pPr>
            <w:r>
              <w:rPr>
                <w:rFonts w:ascii="Arial" w:cs="Arial" w:eastAsia="Arial" w:hAnsi="Arial"/>
                <w:sz w:val="14"/>
                <w:szCs w:val="14"/>
                <w:b w:val="1"/>
                <w:bCs w:val="1"/>
                <w:color w:val="auto"/>
                <w:w w:val="95"/>
              </w:rPr>
              <w:t>Owned Immediately</w:t>
            </w:r>
          </w:p>
        </w:tc>
      </w:tr>
      <w:tr>
        <w:trPr>
          <w:trHeight w:val="170"/>
        </w:trPr>
        <w:tc>
          <w:tcPr>
            <w:tcW w:w="586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auto"/>
              </w:rPr>
              <w:t>Offering</w:t>
            </w: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w w:val="95"/>
              </w:rPr>
              <w:t>After This Offering</w:t>
            </w:r>
          </w:p>
        </w:tc>
        <w:tc>
          <w:tcPr>
            <w:tcW w:w="2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1"/>
        </w:trPr>
        <w:tc>
          <w:tcPr>
            <w:tcW w:w="5860" w:type="dxa"/>
            <w:vAlign w:val="bottom"/>
          </w:tcPr>
          <w:p>
            <w:pPr>
              <w:spacing w:after="0"/>
              <w:rPr>
                <w:sz w:val="12"/>
                <w:szCs w:val="12"/>
                <w:color w:val="auto"/>
              </w:rPr>
            </w:pPr>
          </w:p>
        </w:tc>
        <w:tc>
          <w:tcPr>
            <w:tcW w:w="1560" w:type="dxa"/>
            <w:vAlign w:val="bottom"/>
            <w:gridSpan w:val="3"/>
          </w:tcPr>
          <w:p>
            <w:pPr>
              <w:ind w:left="220"/>
              <w:spacing w:after="0" w:line="141"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jc w:val="right"/>
              <w:ind w:right="32"/>
              <w:spacing w:after="0" w:line="141"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c>
          <w:tcPr>
            <w:tcW w:w="1420" w:type="dxa"/>
            <w:vAlign w:val="bottom"/>
            <w:gridSpan w:val="3"/>
          </w:tcPr>
          <w:p>
            <w:pPr>
              <w:ind w:left="140"/>
              <w:spacing w:after="0" w:line="141"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r>
      <w:tr>
        <w:trPr>
          <w:trHeight w:val="195"/>
        </w:trPr>
        <w:tc>
          <w:tcPr>
            <w:tcW w:w="58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Directors and Executive Officers</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5"/>
        </w:trPr>
        <w:tc>
          <w:tcPr>
            <w:tcW w:w="5860" w:type="dxa"/>
            <w:vAlign w:val="bottom"/>
          </w:tcPr>
          <w:p>
            <w:pPr>
              <w:ind w:left="360"/>
              <w:spacing w:after="0"/>
              <w:rPr>
                <w:sz w:val="20"/>
                <w:szCs w:val="20"/>
                <w:color w:val="auto"/>
              </w:rPr>
            </w:pPr>
            <w:r>
              <w:rPr>
                <w:rFonts w:ascii="Arial" w:cs="Arial" w:eastAsia="Arial" w:hAnsi="Arial"/>
                <w:sz w:val="18"/>
                <w:szCs w:val="18"/>
                <w:color w:val="auto"/>
              </w:rPr>
              <w:t>Leaf Hua Li</w:t>
            </w:r>
            <w:r>
              <w:rPr>
                <w:rFonts w:ascii="Arial" w:cs="Arial" w:eastAsia="Arial" w:hAnsi="Arial"/>
                <w:sz w:val="15"/>
                <w:szCs w:val="15"/>
                <w:color w:val="auto"/>
              </w:rPr>
              <w:t>(1)</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403,750,000</w:t>
            </w:r>
          </w:p>
        </w:tc>
        <w:tc>
          <w:tcPr>
            <w:tcW w:w="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51.7%</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Ppchen Weihua Chen</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11,052,915</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5860" w:type="dxa"/>
            <w:vAlign w:val="bottom"/>
          </w:tcPr>
          <w:p>
            <w:pPr>
              <w:ind w:left="360"/>
              <w:spacing w:after="0"/>
              <w:rPr>
                <w:sz w:val="20"/>
                <w:szCs w:val="20"/>
                <w:color w:val="auto"/>
              </w:rPr>
            </w:pPr>
            <w:r>
              <w:rPr>
                <w:rFonts w:ascii="Arial" w:cs="Arial" w:eastAsia="Arial" w:hAnsi="Arial"/>
                <w:sz w:val="18"/>
                <w:szCs w:val="18"/>
                <w:color w:val="auto"/>
              </w:rPr>
              <w:t>Arthur Yu Chen</w:t>
            </w:r>
            <w:r>
              <w:rPr>
                <w:rFonts w:ascii="Arial" w:cs="Arial" w:eastAsia="Arial" w:hAnsi="Arial"/>
                <w:sz w:val="15"/>
                <w:szCs w:val="15"/>
                <w:color w:val="auto"/>
              </w:rPr>
              <w:t>(2)</w:t>
            </w:r>
          </w:p>
        </w:tc>
        <w:tc>
          <w:tcPr>
            <w:tcW w:w="15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Nineway Jie Zhang</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8,075,000</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5860" w:type="dxa"/>
            <w:vAlign w:val="bottom"/>
          </w:tcPr>
          <w:p>
            <w:pPr>
              <w:ind w:left="360"/>
              <w:spacing w:after="0"/>
              <w:rPr>
                <w:sz w:val="20"/>
                <w:szCs w:val="20"/>
                <w:color w:val="auto"/>
              </w:rPr>
            </w:pPr>
            <w:r>
              <w:rPr>
                <w:rFonts w:ascii="Arial" w:cs="Arial" w:eastAsia="Arial" w:hAnsi="Arial"/>
                <w:sz w:val="18"/>
                <w:szCs w:val="18"/>
                <w:color w:val="auto"/>
              </w:rPr>
              <w:t>Shan Lu</w:t>
            </w:r>
            <w:r>
              <w:rPr>
                <w:rFonts w:ascii="Arial" w:cs="Arial" w:eastAsia="Arial" w:hAnsi="Arial"/>
                <w:sz w:val="15"/>
                <w:szCs w:val="15"/>
                <w:color w:val="auto"/>
              </w:rPr>
              <w:t>(3)</w:t>
            </w:r>
          </w:p>
        </w:tc>
        <w:tc>
          <w:tcPr>
            <w:tcW w:w="1560" w:type="dxa"/>
            <w:vAlign w:val="bottom"/>
            <w:gridSpan w:val="3"/>
          </w:tcPr>
          <w:p>
            <w:pPr>
              <w:ind w:left="6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Vic Haixiang Li</w:t>
            </w:r>
            <w:r>
              <w:rPr>
                <w:rFonts w:ascii="Arial" w:cs="Arial" w:eastAsia="Arial" w:hAnsi="Arial"/>
                <w:sz w:val="15"/>
                <w:szCs w:val="15"/>
                <w:color w:val="auto"/>
              </w:rPr>
              <w:t>(4)</w:t>
            </w:r>
          </w:p>
        </w:tc>
        <w:tc>
          <w:tcPr>
            <w:tcW w:w="1560" w:type="dxa"/>
            <w:vAlign w:val="bottom"/>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5860" w:type="dxa"/>
            <w:vAlign w:val="bottom"/>
          </w:tcPr>
          <w:p>
            <w:pPr>
              <w:ind w:left="360"/>
              <w:spacing w:after="0"/>
              <w:rPr>
                <w:sz w:val="20"/>
                <w:szCs w:val="20"/>
                <w:color w:val="auto"/>
              </w:rPr>
            </w:pPr>
            <w:r>
              <w:rPr>
                <w:rFonts w:ascii="Arial" w:cs="Arial" w:eastAsia="Arial" w:hAnsi="Arial"/>
                <w:sz w:val="18"/>
                <w:szCs w:val="18"/>
                <w:color w:val="auto"/>
              </w:rPr>
              <w:t>Robin Li Xu</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Ching-Yee Joey Poon</w:t>
            </w:r>
            <w:r>
              <w:rPr>
                <w:rFonts w:ascii="Arial" w:cs="Arial" w:eastAsia="Arial" w:hAnsi="Arial"/>
                <w:sz w:val="15"/>
                <w:szCs w:val="15"/>
                <w:color w:val="auto"/>
              </w:rPr>
              <w:t>(5)</w:t>
            </w:r>
          </w:p>
        </w:tc>
        <w:tc>
          <w:tcPr>
            <w:tcW w:w="15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5860" w:type="dxa"/>
            <w:vAlign w:val="bottom"/>
          </w:tcPr>
          <w:p>
            <w:pPr>
              <w:ind w:left="360"/>
              <w:spacing w:after="0"/>
              <w:rPr>
                <w:sz w:val="20"/>
                <w:szCs w:val="20"/>
                <w:color w:val="auto"/>
              </w:rPr>
            </w:pPr>
            <w:r>
              <w:rPr>
                <w:rFonts w:ascii="Arial" w:cs="Arial" w:eastAsia="Arial" w:hAnsi="Arial"/>
                <w:sz w:val="18"/>
                <w:szCs w:val="18"/>
                <w:color w:val="auto"/>
              </w:rPr>
              <w:t>All Directors and Executive Officers as a Group</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425,537,915</w:t>
            </w:r>
          </w:p>
        </w:tc>
        <w:tc>
          <w:tcPr>
            <w:tcW w:w="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53.0%</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[and Selling] Shareholders: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8"/>
        </w:trPr>
        <w:tc>
          <w:tcPr>
            <w:tcW w:w="5860" w:type="dxa"/>
            <w:vAlign w:val="bottom"/>
          </w:tcPr>
          <w:p>
            <w:pPr>
              <w:ind w:left="360"/>
              <w:spacing w:after="0"/>
              <w:rPr>
                <w:sz w:val="20"/>
                <w:szCs w:val="20"/>
                <w:color w:val="auto"/>
              </w:rPr>
            </w:pPr>
            <w:r>
              <w:rPr>
                <w:rFonts w:ascii="Arial" w:cs="Arial" w:eastAsia="Arial" w:hAnsi="Arial"/>
                <w:sz w:val="18"/>
                <w:szCs w:val="18"/>
                <w:color w:val="auto"/>
              </w:rPr>
              <w:t>Leaf Hua Li</w:t>
            </w:r>
            <w:r>
              <w:rPr>
                <w:rFonts w:ascii="Arial" w:cs="Arial" w:eastAsia="Arial" w:hAnsi="Arial"/>
                <w:sz w:val="15"/>
                <w:szCs w:val="15"/>
                <w:color w:val="auto"/>
              </w:rPr>
              <w:t>(1)</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403,750,000</w:t>
            </w:r>
          </w:p>
        </w:tc>
        <w:tc>
          <w:tcPr>
            <w:tcW w:w="4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51.7%</w:t>
            </w: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Entities affiliated with Tencent</w:t>
            </w:r>
            <w:r>
              <w:rPr>
                <w:rFonts w:ascii="Arial" w:cs="Arial" w:eastAsia="Arial" w:hAnsi="Arial"/>
                <w:sz w:val="15"/>
                <w:szCs w:val="15"/>
                <w:color w:val="auto"/>
              </w:rPr>
              <w:t>(6)</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298,487,812</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38.2%</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5860" w:type="dxa"/>
            <w:vAlign w:val="bottom"/>
          </w:tcPr>
          <w:p>
            <w:pPr>
              <w:ind w:left="360"/>
              <w:spacing w:after="0"/>
              <w:rPr>
                <w:sz w:val="20"/>
                <w:szCs w:val="20"/>
                <w:color w:val="auto"/>
              </w:rPr>
            </w:pPr>
            <w:r>
              <w:rPr>
                <w:rFonts w:ascii="Arial" w:cs="Arial" w:eastAsia="Arial" w:hAnsi="Arial"/>
                <w:sz w:val="18"/>
                <w:szCs w:val="18"/>
                <w:color w:val="auto"/>
              </w:rPr>
              <w:t>Matrix Partners China III Hong Kong Limited</w:t>
            </w:r>
            <w:r>
              <w:rPr>
                <w:rFonts w:ascii="Arial" w:cs="Arial" w:eastAsia="Arial" w:hAnsi="Arial"/>
                <w:sz w:val="15"/>
                <w:szCs w:val="15"/>
                <w:color w:val="auto"/>
              </w:rPr>
              <w:t>(7)</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47,965,811</w:t>
            </w:r>
          </w:p>
        </w:tc>
        <w:tc>
          <w:tcPr>
            <w:tcW w:w="4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6.1%</w:t>
            </w: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76200</wp:posOffset>
            </wp:positionV>
            <wp:extent cx="6991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133" w:lineRule="exact"/>
        <w:rPr>
          <w:sz w:val="20"/>
          <w:szCs w:val="20"/>
          <w:color w:val="auto"/>
        </w:rPr>
      </w:pPr>
    </w:p>
    <w:p>
      <w:pPr>
        <w:ind w:left="560" w:hanging="324"/>
        <w:spacing w:after="0"/>
        <w:tabs>
          <w:tab w:leader="none" w:pos="5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Less than 1% of our total outstanding shares.</w:t>
      </w:r>
    </w:p>
    <w:p>
      <w:pPr>
        <w:ind w:left="560" w:right="240" w:hanging="324"/>
        <w:spacing w:after="0" w:line="220" w:lineRule="auto"/>
        <w:tabs>
          <w:tab w:leader="none" w:pos="5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Except as indicated otherwise below, the business address of our directors and executive officers is 9/F, Unit 3, Building C, Kexing Science Park, 15 Keyuan Road, Technology Park, Nanshan District, Shenzhen, People’s Republic of China.</w:t>
      </w:r>
    </w:p>
    <w:p>
      <w:pPr>
        <w:ind w:left="560" w:right="60" w:hanging="324"/>
        <w:spacing w:after="0" w:line="220" w:lineRule="auto"/>
        <w:tabs>
          <w:tab w:leader="none" w:pos="5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Beneficial ownership information disclosed herein represents direct and indirect holdings of entities owned, controlled or otherwise affiliated with the applicable holder as determined in accordance with the rules and regulations of the SEC.</w:t>
      </w:r>
    </w:p>
    <w:p>
      <w:pPr>
        <w:ind w:left="560" w:hanging="324"/>
        <w:spacing w:after="0" w:line="220" w:lineRule="auto"/>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403,750,000 ordinary shares directly held by Mr. Leaf Hua Li.</w:t>
      </w:r>
    </w:p>
    <w:p>
      <w:pPr>
        <w:ind w:left="560" w:hanging="324"/>
        <w:spacing w:after="0" w:line="220" w:lineRule="auto"/>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business address of Mr. Arthur Yu Chen is 11/F, Bangkok Bank Building, No. 18 Bonham Strand W, Sheung Wan, Hong Kong S.A.R., People’s Republic of China.</w:t>
      </w:r>
    </w:p>
    <w:p>
      <w:pPr>
        <w:ind w:left="560" w:hanging="324"/>
        <w:spacing w:after="0" w:line="220" w:lineRule="auto"/>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business address of Mr. Shan Lu is 15/F, Langke Building, Nanshan District, Shenzhen, People’s Republic of China.</w:t>
      </w:r>
    </w:p>
    <w:p>
      <w:pPr>
        <w:ind w:left="560" w:hanging="324"/>
        <w:spacing w:after="0" w:line="220" w:lineRule="auto"/>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business address of Mr. Vic Haixiang Li is Suite 7013, 70/F, International Finance Centre, 8 Finance District, Central, Hong Kong S.A.R., People’s Republic of China.</w:t>
      </w:r>
    </w:p>
    <w:p>
      <w:pPr>
        <w:ind w:left="560" w:hanging="324"/>
        <w:spacing w:after="0" w:line="237" w:lineRule="auto"/>
        <w:tabs>
          <w:tab w:leader="none" w:pos="5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business address of Ms. Ching-Yee Joey Poon is 11/F, Bangkok Bank Building, No. 18 Bonham Strand W, Sheung Wan, Hong Kong S.A.R., People’s Republic of China.</w:t>
      </w:r>
    </w:p>
    <w:p>
      <w:pPr>
        <w:ind w:left="560" w:hanging="324"/>
        <w:spacing w:after="0" w:line="226" w:lineRule="auto"/>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(i) 89,285,500 Series A preferred shares and 80,357,500 Series B preferred shares directly held by Qiantang River Investment Limited, a limited liability company incorporated in British Virgin Islands, (ii) 71,024,142 Series C preferred shares directly held by Image Frame Investment (HK) Limited, a limited liability company incorporated in Hong Kong, (iii) 28,205,205 Series C preferred shares directly held by TPP Follow-on I Holding A Limited, a limited liability company incorporated in the Cayman Islands, and (iv) 29,615,465 Series C preferred shares directly held by TPP Opportunity I Holding A Limited, a limited liability company incorporated in the Cayman Islands. Qiantang River Investment Limited, Image Frame Investment (HK) Limited, TPP Follow-on I Holding A Limited</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57"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560" w:right="40"/>
        <w:spacing w:after="0"/>
        <w:rPr>
          <w:sz w:val="20"/>
          <w:szCs w:val="20"/>
          <w:color w:val="auto"/>
        </w:rPr>
      </w:pPr>
      <w:r>
        <w:rPr>
          <w:rFonts w:ascii="Arial" w:cs="Arial" w:eastAsia="Arial" w:hAnsi="Arial"/>
          <w:sz w:val="13"/>
          <w:szCs w:val="13"/>
          <w:color w:val="auto"/>
        </w:rPr>
        <w:t>and TPP Opportunity I Holding A Limited are investing entities either directly or beneficially owned by Tencent Holdings Limited, and are collectively referred to as entities affiliated with Tencent. Tencent Holdings Limited is a limited liability company incorporated in the Cayman Islands and is listed on the Hong Kong Stock Exchange. The registered address of Qiantang River Investment Limited is P.O. Box 957, Offshore Incorporations Centre, Road Town, Tortola, VG1110, British Virgin Islands. The registered address of Image Frame Investment (HK) Limited is 29/F., Three Pacific Place, No. 1, Queen’s Road East, Wanchai, Hong Kong. The registered address of TPP Follow-on I Holding A Limited is P.O. Box 309, Ugland House, Grand Cayman, KY1-1104, Cayman Islands. The registered address of TPP Opportunity I Holding A Limited is P.O. Box 309, Ugland House, Grand Cayman, KY1-1104, Cayman Islands. All of these preferred shares will be automatically converted to ordinary shares immediately upon the completion of this offering.</w:t>
      </w:r>
    </w:p>
    <w:p>
      <w:pPr>
        <w:spacing w:after="0" w:line="1" w:lineRule="exact"/>
        <w:rPr>
          <w:sz w:val="20"/>
          <w:szCs w:val="20"/>
          <w:color w:val="auto"/>
        </w:rPr>
      </w:pPr>
    </w:p>
    <w:p>
      <w:pPr>
        <w:ind w:left="560" w:hanging="324"/>
        <w:spacing w:after="0" w:line="224" w:lineRule="auto"/>
        <w:tabs>
          <w:tab w:leader="none" w:pos="5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35,714,500 Series A preferred shares, 4,870,000 Series B preferred shares and 7,381,311 Series C-1 preferred shares held by Matrix Partners China III Hong Kong Limited, a company incorporated in Hong Kong. The registered office address of Matrix Partners China III Hong Kong Limited is Suites 3701-3710, 37/F, Jardine House, 1 Connaught Place, Central, Hong Kong. Matrix Partners China III Hong Kong Limited is controlled by Matrix Partners China III, L.P., which holds 90% of its equity interest. The remaining 10% of the equity interest is held by Matrix Partners China III-A, L.P. Both Matrix Partners China III, L.P. and Matrix Partners China III-A, L.P. are managed by Matrix China III GP GP, Ltd. Timothy A. Barrows, David Ying Zhang, David Su and Yibo Shao are directors of Matrix China III GP GP, Ltd. and are deemed to have shared voting and investment power over the shares held by Matrix Partners China III, L.P. and Matrix Partners China III-A, L.P. The registered office address of Matrix Partners China III, L.P. and Matrix Partners China III-A, L.P is Maples Corporate Services Limited, PO Box 309, Ugland House, Grand Cayman, KY1-1104, Cayman Islands. All of these preferred shares will be automatically converted to ordinary shares immediately upon the completion of this offering.</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the date of this prospectus, none of our ordinary shares or preferred shares are held by record holders in the United States.</w:t>
      </w:r>
    </w:p>
    <w:p>
      <w:pPr>
        <w:spacing w:after="0" w:line="223" w:lineRule="exact"/>
        <w:rPr>
          <w:sz w:val="20"/>
          <w:szCs w:val="20"/>
          <w:color w:val="auto"/>
        </w:rPr>
      </w:pPr>
    </w:p>
    <w:p>
      <w:pPr>
        <w:ind w:left="240" w:right="420" w:firstLine="438"/>
        <w:spacing w:after="0" w:line="275" w:lineRule="auto"/>
        <w:rPr>
          <w:sz w:val="20"/>
          <w:szCs w:val="20"/>
          <w:color w:val="auto"/>
        </w:rPr>
      </w:pPr>
      <w:r>
        <w:rPr>
          <w:rFonts w:ascii="Arial" w:cs="Arial" w:eastAsia="Arial" w:hAnsi="Arial"/>
          <w:sz w:val="18"/>
          <w:szCs w:val="18"/>
          <w:color w:val="auto"/>
        </w:rPr>
        <w:t>We are not aware of any arrangement that may, at a subsequent date, result in a change of control of our company. See “Description of Share Capital—History of Securities Issuances” for historical changes in our shareholding structure.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60"/>
          </w:cols>
          <w:pgMar w:left="240" w:top="458"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RELATED PARTY TRANSACTIONS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Arrangements with Our VIE and Its Shareholders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“Corporate History and Structure.”</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Private Placements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Shareholders Agreement</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“Description of Share Capital—History of Securities Issuances—Shareholders Agreement.”</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Share Incentive Plan</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“Management—2014 Share Incentive Plan.”</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Transactions with Tencent</w:t>
      </w:r>
    </w:p>
    <w:p>
      <w:pPr>
        <w:spacing w:after="0" w:line="119"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Tencent has been a principal shareholder of us since October 2014. We purchased cloud and SMS channel services from Tencent in the amount of HK$5.6 million and HK$8.8 million (US$1.1 million) in 2016 and 2017, respectively. As of December 31, 2016 and 2017, we had amounts due to Tencent of HK$6.5 million and HK$14.7 million (US$1.9 million), respectively.</w:t>
      </w:r>
    </w:p>
    <w:p>
      <w:pPr>
        <w:spacing w:after="0" w:line="181" w:lineRule="exact"/>
        <w:rPr>
          <w:sz w:val="20"/>
          <w:szCs w:val="20"/>
          <w:color w:val="auto"/>
        </w:rPr>
      </w:pPr>
    </w:p>
    <w:p>
      <w:pPr>
        <w:ind w:left="240" w:right="140" w:firstLine="438"/>
        <w:spacing w:after="0" w:line="257" w:lineRule="auto"/>
        <w:rPr>
          <w:sz w:val="20"/>
          <w:szCs w:val="20"/>
          <w:color w:val="auto"/>
        </w:rPr>
      </w:pPr>
      <w:r>
        <w:rPr>
          <w:rFonts w:ascii="Arial" w:cs="Arial" w:eastAsia="Arial" w:hAnsi="Arial"/>
          <w:sz w:val="18"/>
          <w:szCs w:val="18"/>
          <w:color w:val="auto"/>
        </w:rPr>
        <w:t>In the past, Tencent extended to us certain short-term loans through its affiliates. As of December 31, 2016 and 2017, we had amounts due to Tencent of HK$161.2 million and HK$400.0 million (US$51.2 million), respectively, which represent the balance of such loans we owed to Tencent’s affiliates. These loans were paid in full in 2017 and 2018, as applicable. See “Management’s Discussion and Analysis of Financial Condition and Results of Operations—Principal Indebtedness—Short-Term Borrowings.”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Transactions with a Director and an Executive Officer</w:t>
      </w:r>
    </w:p>
    <w:p>
      <w:pPr>
        <w:spacing w:after="0" w:line="119" w:lineRule="exact"/>
        <w:rPr>
          <w:sz w:val="20"/>
          <w:szCs w:val="20"/>
          <w:color w:val="auto"/>
        </w:rPr>
      </w:pPr>
    </w:p>
    <w:p>
      <w:pPr>
        <w:jc w:val="both"/>
        <w:ind w:left="240" w:firstLine="438"/>
        <w:spacing w:after="0" w:line="262" w:lineRule="auto"/>
        <w:rPr>
          <w:sz w:val="20"/>
          <w:szCs w:val="20"/>
          <w:color w:val="auto"/>
        </w:rPr>
      </w:pPr>
      <w:r>
        <w:rPr>
          <w:rFonts w:ascii="Arial" w:cs="Arial" w:eastAsia="Arial" w:hAnsi="Arial"/>
          <w:sz w:val="18"/>
          <w:szCs w:val="18"/>
          <w:color w:val="auto"/>
        </w:rPr>
        <w:t>Since September 2016, we entered into a series of loan agreements with Mr. Nineway Jie Zhang, our director. Under these agreements, Mr. Zhang borrowed from us RMB4.3 million (US$0.7 million) with a fixed interest rate of 4.0% per annum. Mr. Zhang will repay the loan prior to the first public filing of our registration statement on Form F-1 of which this prospectus is a part.</w:t>
      </w:r>
    </w:p>
    <w:p>
      <w:pPr>
        <w:spacing w:after="0" w:line="181" w:lineRule="exact"/>
        <w:rPr>
          <w:sz w:val="20"/>
          <w:szCs w:val="20"/>
          <w:color w:val="auto"/>
        </w:rPr>
      </w:pPr>
    </w:p>
    <w:p>
      <w:pPr>
        <w:ind w:left="240" w:right="60" w:firstLine="438"/>
        <w:spacing w:after="0" w:line="257" w:lineRule="auto"/>
        <w:rPr>
          <w:sz w:val="20"/>
          <w:szCs w:val="20"/>
          <w:color w:val="auto"/>
        </w:rPr>
      </w:pPr>
      <w:r>
        <w:rPr>
          <w:rFonts w:ascii="Arial" w:cs="Arial" w:eastAsia="Arial" w:hAnsi="Arial"/>
          <w:sz w:val="18"/>
          <w:szCs w:val="18"/>
          <w:color w:val="auto"/>
        </w:rPr>
        <w:t>In the past, through our margin financing services, we extended to Mr. Robin Li Xu, our vice president, margin loans with the ordinary terms and conditions we offer to our clients in our margin financing business. As of the date of this prospectus, the outstanding balance of such margin loans is HK$1,387,388 (US$177,579). Mr. Xu will repay the margin loans prior to the first public filing of our registration statement on Form F-1 of which this prospectus is a part.</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240" w:top="458" w:right="5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DESCRIPTION OF SHARE CAPITAL</w:t>
      </w:r>
    </w:p>
    <w:p>
      <w:pPr>
        <w:spacing w:after="0" w:line="227" w:lineRule="exact"/>
        <w:rPr>
          <w:sz w:val="20"/>
          <w:szCs w:val="20"/>
          <w:color w:val="auto"/>
        </w:rPr>
      </w:pPr>
    </w:p>
    <w:p>
      <w:pPr>
        <w:ind w:left="240" w:right="160" w:firstLine="438"/>
        <w:spacing w:after="0" w:line="275"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and the Companies Law (2018 Revision) of the Cayman Islands, which we refer to as the Companies Law below.</w:t>
      </w:r>
    </w:p>
    <w:p>
      <w:pPr>
        <w:spacing w:after="0" w:line="170" w:lineRule="exact"/>
        <w:rPr>
          <w:sz w:val="20"/>
          <w:szCs w:val="20"/>
          <w:color w:val="auto"/>
        </w:rPr>
      </w:pPr>
    </w:p>
    <w:p>
      <w:pPr>
        <w:ind w:left="240" w:right="60" w:firstLine="438"/>
        <w:spacing w:after="0" w:line="274" w:lineRule="auto"/>
        <w:rPr>
          <w:sz w:val="20"/>
          <w:szCs w:val="20"/>
          <w:color w:val="auto"/>
        </w:rPr>
      </w:pPr>
      <w:r>
        <w:rPr>
          <w:rFonts w:ascii="Arial" w:cs="Arial" w:eastAsia="Arial" w:hAnsi="Arial"/>
          <w:sz w:val="17"/>
          <w:szCs w:val="17"/>
          <w:color w:val="auto"/>
        </w:rPr>
        <w:t>As of the date of this prospectus, our authorized share capital is US$50,000 divided into 5,000,000,000 shares, par value of US$0.00001 each, of which (i) 4,622,068,906 shares are designated as ordinary shares; (ii) 125,000,000 shares are designated as Series A preferred shares; (iii) 23,437,500 shares are designated as Series A-1 preferred shares; (iv) 88,423,500 shares are designated as Series B preferred shares; (v) 128,844,812 shares are designated as Series C preferred shares; and (vi) 12,225,282 shares are designated as Series C-1 preferred shares. As of the date of this prospectus, 403,750,000 ordinary shares and 377,931,094 preferred shares are issued and outstanding.</w:t>
      </w:r>
    </w:p>
    <w:p>
      <w:pPr>
        <w:spacing w:after="0" w:line="173" w:lineRule="exact"/>
        <w:rPr>
          <w:sz w:val="20"/>
          <w:szCs w:val="20"/>
          <w:color w:val="auto"/>
        </w:rPr>
      </w:pPr>
    </w:p>
    <w:p>
      <w:pPr>
        <w:jc w:val="both"/>
        <w:ind w:left="240" w:firstLine="438"/>
        <w:spacing w:after="0" w:line="262" w:lineRule="auto"/>
        <w:rPr>
          <w:sz w:val="20"/>
          <w:szCs w:val="20"/>
          <w:color w:val="auto"/>
        </w:rPr>
      </w:pPr>
      <w:r>
        <w:rPr>
          <w:rFonts w:ascii="Arial" w:cs="Arial" w:eastAsia="Arial" w:hAnsi="Arial"/>
          <w:sz w:val="18"/>
          <w:szCs w:val="18"/>
          <w:color w:val="auto"/>
        </w:rPr>
        <w:t>Immediately prior to the completion of this offering, there will be ordinary shares outstanding, including a total of 377,931,094 ordinary shares resulting from the automatic conversion of all of our outstanding preferred shares, assuming the underwriters do not exercise the over-allotment option. All of our shares to be issued in the offering will be issued as fully paid.</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Post-Offering Memorandum and Articles</w:t>
      </w:r>
    </w:p>
    <w:p>
      <w:pPr>
        <w:spacing w:after="0" w:line="119" w:lineRule="exact"/>
        <w:rPr>
          <w:sz w:val="20"/>
          <w:szCs w:val="20"/>
          <w:color w:val="auto"/>
        </w:rPr>
      </w:pPr>
    </w:p>
    <w:p>
      <w:pPr>
        <w:ind w:left="240" w:right="40" w:firstLine="438"/>
        <w:spacing w:after="0" w:line="257" w:lineRule="auto"/>
        <w:rPr>
          <w:sz w:val="20"/>
          <w:szCs w:val="20"/>
          <w:color w:val="auto"/>
        </w:rPr>
      </w:pPr>
      <w:r>
        <w:rPr>
          <w:rFonts w:ascii="Arial" w:cs="Arial" w:eastAsia="Arial" w:hAnsi="Arial"/>
          <w:sz w:val="18"/>
          <w:szCs w:val="18"/>
          <w:color w:val="auto"/>
        </w:rPr>
        <w:t>We will adopt an amended and restated memorandum and articles of association, which will become effective and replace our current third amended and restated memorandum and articles of association in its entirety immediately prior to the completion of this offering. The following are summaries of material provisions of the post-offering amended and restated memorandum and articles of association that we expect to adopt and of the Companies Law, insofar as they relate to the material terms of our ordinary shares.</w:t>
      </w:r>
    </w:p>
    <w:p>
      <w:pPr>
        <w:spacing w:after="0" w:line="188" w:lineRule="exact"/>
        <w:rPr>
          <w:sz w:val="20"/>
          <w:szCs w:val="20"/>
          <w:color w:val="auto"/>
        </w:rPr>
      </w:pPr>
    </w:p>
    <w:p>
      <w:pPr>
        <w:ind w:left="240" w:firstLine="438"/>
        <w:spacing w:after="0" w:line="305"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 of the Cayman Islands.</w:t>
      </w:r>
    </w:p>
    <w:p>
      <w:pPr>
        <w:spacing w:after="0" w:line="148" w:lineRule="exact"/>
        <w:rPr>
          <w:sz w:val="20"/>
          <w:szCs w:val="20"/>
          <w:color w:val="auto"/>
        </w:rPr>
      </w:pPr>
    </w:p>
    <w:p>
      <w:pPr>
        <w:ind w:left="240" w:right="120" w:firstLine="438"/>
        <w:spacing w:after="0" w:line="305" w:lineRule="auto"/>
        <w:rPr>
          <w:sz w:val="20"/>
          <w:szCs w:val="20"/>
          <w:color w:val="auto"/>
        </w:rPr>
      </w:pPr>
      <w:r>
        <w:rPr>
          <w:rFonts w:ascii="Arial" w:cs="Arial" w:eastAsia="Arial" w:hAnsi="Arial"/>
          <w:sz w:val="17"/>
          <w:szCs w:val="17"/>
          <w:i w:val="1"/>
          <w:iCs w:val="1"/>
          <w:color w:val="auto"/>
        </w:rPr>
        <w:t>Ordinary Shares</w:t>
      </w:r>
      <w:r>
        <w:rPr>
          <w:rFonts w:ascii="Arial" w:cs="Arial" w:eastAsia="Arial" w:hAnsi="Arial"/>
          <w:sz w:val="17"/>
          <w:szCs w:val="17"/>
          <w:color w:val="auto"/>
        </w:rPr>
        <w:t>. Our ordinary shares are issued in registered form and are issued when registered in our register of members. We may not issue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to bearer. Our shareholders who are nonresidents of the Cayman Islands may freely hold and vote their shares.</w:t>
      </w:r>
    </w:p>
    <w:p>
      <w:pPr>
        <w:spacing w:after="0" w:line="148" w:lineRule="exact"/>
        <w:rPr>
          <w:sz w:val="20"/>
          <w:szCs w:val="20"/>
          <w:color w:val="auto"/>
        </w:rPr>
      </w:pPr>
    </w:p>
    <w:p>
      <w:pPr>
        <w:ind w:left="240" w:right="100" w:firstLine="438"/>
        <w:spacing w:after="0" w:line="29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our ordinary shares are entitled to such dividends as may be declared by our board of directors. Our post-offering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Law.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61" w:lineRule="exact"/>
        <w:rPr>
          <w:sz w:val="20"/>
          <w:szCs w:val="20"/>
          <w:color w:val="auto"/>
        </w:rPr>
      </w:pPr>
    </w:p>
    <w:p>
      <w:pPr>
        <w:ind w:left="240" w:right="60" w:firstLine="438"/>
        <w:spacing w:after="0" w:line="262"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our ordinary shares have the right to receive notice of, attend, speak and vote at general meetings of our company. At</w:t>
      </w:r>
      <w:r>
        <w:rPr>
          <w:rFonts w:ascii="Arial" w:cs="Arial" w:eastAsia="Arial" w:hAnsi="Arial"/>
          <w:sz w:val="18"/>
          <w:szCs w:val="18"/>
          <w:i w:val="1"/>
          <w:iCs w:val="1"/>
          <w:color w:val="auto"/>
        </w:rPr>
        <w:t xml:space="preserve"> </w:t>
      </w:r>
      <w:r>
        <w:rPr>
          <w:rFonts w:ascii="Arial" w:cs="Arial" w:eastAsia="Arial" w:hAnsi="Arial"/>
          <w:sz w:val="18"/>
          <w:szCs w:val="18"/>
          <w:color w:val="auto"/>
        </w:rPr>
        <w:t>any general meeting a resolution put to the vote of the meeting shall be decided on a show of hands, unless a poll is (before or on the declaration of the result of the show of hands) demanded by the chairman.</w:t>
      </w:r>
    </w:p>
    <w:p>
      <w:pPr>
        <w:spacing w:after="0" w:line="181" w:lineRule="exact"/>
        <w:rPr>
          <w:sz w:val="20"/>
          <w:szCs w:val="20"/>
          <w:color w:val="auto"/>
        </w:rPr>
      </w:pPr>
    </w:p>
    <w:p>
      <w:pPr>
        <w:ind w:left="240" w:right="100" w:firstLine="438"/>
        <w:spacing w:after="0" w:line="309" w:lineRule="auto"/>
        <w:rPr>
          <w:sz w:val="20"/>
          <w:szCs w:val="20"/>
          <w:color w:val="auto"/>
        </w:rPr>
      </w:pPr>
      <w:r>
        <w:rPr>
          <w:rFonts w:ascii="Arial" w:cs="Arial" w:eastAsia="Arial" w:hAnsi="Arial"/>
          <w:sz w:val="16"/>
          <w:szCs w:val="16"/>
          <w:color w:val="auto"/>
        </w:rPr>
        <w:t>A quorum required for a meeting of shareholders consists of one or more shareholders holding not less than one-third of all paid up voting share capital of our company present in person or by proxy or, if a corporation or other non-natural person, by its duly authorized representative. Advance notice of at least ten calendar days is required for the convening of our annual general meeting and other shareholders meetings.</w:t>
      </w:r>
    </w:p>
    <w:p>
      <w:pPr>
        <w:spacing w:after="0" w:line="8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240" w:top="457" w:right="5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at a meeting. A special resolution requires the affirmative vote of no less than two-thirds of the votes cast attaching to the outstanding shares at a meeting. Both ordinary resolutions and special resolutions may also be passed by a unanimous written resolution signed by all the shareholders of our company, as permitted by the Companies Law and our post-offering amended and restated memorandum and articles of association. A special resolution will be required for important matters such as a change of name or making changes that will affect the rights, preferences, privileges or powers of the preferred shareholders.</w:t>
      </w:r>
    </w:p>
    <w:p>
      <w:pPr>
        <w:spacing w:after="0" w:line="190" w:lineRule="exact"/>
        <w:rPr>
          <w:sz w:val="20"/>
          <w:szCs w:val="20"/>
          <w:color w:val="auto"/>
        </w:rPr>
      </w:pPr>
    </w:p>
    <w:p>
      <w:pPr>
        <w:ind w:left="240" w:right="320" w:firstLine="438"/>
        <w:spacing w:after="0" w:line="257" w:lineRule="auto"/>
        <w:rPr>
          <w:sz w:val="20"/>
          <w:szCs w:val="20"/>
          <w:color w:val="auto"/>
        </w:rPr>
      </w:pPr>
      <w:r>
        <w:rPr>
          <w:rFonts w:ascii="Arial" w:cs="Arial" w:eastAsia="Arial" w:hAnsi="Arial"/>
          <w:sz w:val="18"/>
          <w:szCs w:val="18"/>
          <w:i w:val="1"/>
          <w:iCs w:val="1"/>
          <w:color w:val="auto"/>
        </w:rPr>
        <w:t>General Meetings of Shareholders</w:t>
      </w:r>
      <w:r>
        <w:rPr>
          <w:rFonts w:ascii="Arial" w:cs="Arial" w:eastAsia="Arial" w:hAnsi="Arial"/>
          <w:sz w:val="18"/>
          <w:szCs w:val="18"/>
          <w:color w:val="auto"/>
        </w:rPr>
        <w:t>. As a Cayman Islands exempted company, we are not obliged by the Companies Law to call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general meetings. 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Shareholders’ general meetings may be convened by the chairman or a majority of our board of directors. Advance notice of at least ten</w:t>
      </w:r>
    </w:p>
    <w:p>
      <w:pPr>
        <w:spacing w:after="0" w:line="34" w:lineRule="exact"/>
        <w:rPr>
          <w:sz w:val="20"/>
          <w:szCs w:val="20"/>
          <w:color w:val="auto"/>
        </w:rPr>
      </w:pPr>
    </w:p>
    <w:p>
      <w:pPr>
        <w:jc w:val="both"/>
        <w:ind w:left="240" w:right="60" w:hanging="4"/>
        <w:spacing w:after="0" w:line="253" w:lineRule="auto"/>
        <w:tabs>
          <w:tab w:leader="none" w:pos="5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90" w:lineRule="exact"/>
        <w:rPr>
          <w:sz w:val="20"/>
          <w:szCs w:val="20"/>
          <w:color w:val="auto"/>
        </w:rPr>
      </w:pPr>
    </w:p>
    <w:p>
      <w:pPr>
        <w:ind w:left="240" w:firstLine="438"/>
        <w:spacing w:after="0" w:line="292" w:lineRule="auto"/>
        <w:rPr>
          <w:sz w:val="20"/>
          <w:szCs w:val="20"/>
          <w:color w:val="auto"/>
        </w:rPr>
      </w:pPr>
      <w:r>
        <w:rPr>
          <w:rFonts w:ascii="Arial" w:cs="Arial" w:eastAsia="Arial" w:hAnsi="Arial"/>
          <w:sz w:val="16"/>
          <w:szCs w:val="16"/>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provide that upon the requisition of shareholders representing in aggregate not less than one-third of the votes attaching to the outstanding shares of our company entitled to vote at general meetings, our board will convene an extraordinary general meeting and put the resolutions so 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161" w:lineRule="exact"/>
        <w:rPr>
          <w:sz w:val="20"/>
          <w:szCs w:val="20"/>
          <w:color w:val="auto"/>
        </w:rPr>
      </w:pPr>
    </w:p>
    <w:p>
      <w:pPr>
        <w:ind w:left="240" w:right="80" w:firstLine="438"/>
        <w:spacing w:after="0" w:line="339" w:lineRule="auto"/>
        <w:rPr>
          <w:sz w:val="20"/>
          <w:szCs w:val="20"/>
          <w:color w:val="auto"/>
        </w:rPr>
      </w:pPr>
      <w:r>
        <w:rPr>
          <w:rFonts w:ascii="Arial" w:cs="Arial" w:eastAsia="Arial" w:hAnsi="Arial"/>
          <w:sz w:val="16"/>
          <w:szCs w:val="16"/>
          <w:i w:val="1"/>
          <w:iCs w:val="1"/>
          <w:color w:val="auto"/>
        </w:rPr>
        <w:t>Transfer of Ordinary Shares</w:t>
      </w:r>
      <w:r>
        <w:rPr>
          <w:rFonts w:ascii="Arial" w:cs="Arial" w:eastAsia="Arial" w:hAnsi="Arial"/>
          <w:sz w:val="16"/>
          <w:szCs w:val="16"/>
          <w:color w:val="auto"/>
        </w:rPr>
        <w:t>. Subject to the restrictions set out below, any of our shareholders may transfer all or any of his or her ordinary shares</w:t>
      </w:r>
      <w:r>
        <w:rPr>
          <w:rFonts w:ascii="Arial" w:cs="Arial" w:eastAsia="Arial" w:hAnsi="Arial"/>
          <w:sz w:val="16"/>
          <w:szCs w:val="16"/>
          <w:i w:val="1"/>
          <w:iCs w:val="1"/>
          <w:color w:val="auto"/>
        </w:rPr>
        <w:t xml:space="preserve"> </w:t>
      </w:r>
      <w:r>
        <w:rPr>
          <w:rFonts w:ascii="Arial" w:cs="Arial" w:eastAsia="Arial" w:hAnsi="Arial"/>
          <w:sz w:val="16"/>
          <w:szCs w:val="16"/>
          <w:color w:val="auto"/>
        </w:rPr>
        <w:t>by an instrument of transfer in writing, and shall be executed by or on behalf of the transferor, and if the directors so requires, signed by the transferee.</w:t>
      </w:r>
    </w:p>
    <w:p>
      <w:pPr>
        <w:spacing w:after="0" w:line="125" w:lineRule="exact"/>
        <w:rPr>
          <w:sz w:val="20"/>
          <w:szCs w:val="20"/>
          <w:color w:val="auto"/>
        </w:rPr>
      </w:pPr>
    </w:p>
    <w:p>
      <w:pPr>
        <w:ind w:left="240" w:right="120" w:firstLine="438"/>
        <w:spacing w:after="0" w:line="275"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100" w:right="660" w:hanging="435"/>
        <w:spacing w:after="0" w:line="305" w:lineRule="auto"/>
        <w:tabs>
          <w:tab w:leader="none" w:pos="11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3" w:lineRule="exact"/>
        <w:rPr>
          <w:rFonts w:ascii="Arial" w:cs="Arial" w:eastAsia="Arial" w:hAnsi="Arial"/>
          <w:sz w:val="17"/>
          <w:szCs w:val="17"/>
          <w:color w:val="auto"/>
        </w:rPr>
      </w:pPr>
    </w:p>
    <w:p>
      <w:pPr>
        <w:ind w:left="1100" w:hanging="435"/>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28" w:lineRule="exact"/>
        <w:rPr>
          <w:rFonts w:ascii="Arial" w:cs="Arial" w:eastAsia="Arial" w:hAnsi="Arial"/>
          <w:sz w:val="18"/>
          <w:szCs w:val="18"/>
          <w:color w:val="auto"/>
        </w:rPr>
      </w:pPr>
    </w:p>
    <w:p>
      <w:pPr>
        <w:ind w:left="1100" w:right="280" w:hanging="435"/>
        <w:spacing w:after="0" w:line="275" w:lineRule="auto"/>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76" w:lineRule="exact"/>
        <w:rPr>
          <w:rFonts w:ascii="Arial" w:cs="Arial" w:eastAsia="Arial" w:hAnsi="Arial"/>
          <w:sz w:val="18"/>
          <w:szCs w:val="18"/>
          <w:color w:val="auto"/>
        </w:rPr>
      </w:pPr>
    </w:p>
    <w:p>
      <w:pPr>
        <w:ind w:left="1100" w:right="20" w:hanging="435"/>
        <w:spacing w:after="0" w:line="275" w:lineRule="auto"/>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fee of such maximum sum as the Nasdaq Global Market may determine to be payable or such lesser sum as our directors may from time to time require is paid to us in respect thereof.</w:t>
      </w:r>
    </w:p>
    <w:p>
      <w:pPr>
        <w:spacing w:after="0" w:line="170" w:lineRule="exact"/>
        <w:rPr>
          <w:sz w:val="20"/>
          <w:szCs w:val="20"/>
          <w:color w:val="auto"/>
        </w:rPr>
      </w:pPr>
    </w:p>
    <w:p>
      <w:pPr>
        <w:ind w:left="240" w:right="220" w:firstLine="438"/>
        <w:spacing w:after="0" w:line="275"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80"/>
          </w:cols>
          <w:pgMar w:left="240" w:top="457"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40" w:firstLine="438"/>
        <w:spacing w:after="0" w:line="262" w:lineRule="auto"/>
        <w:rPr>
          <w:sz w:val="20"/>
          <w:szCs w:val="20"/>
          <w:color w:val="auto"/>
        </w:rPr>
      </w:pPr>
      <w:r>
        <w:rPr>
          <w:rFonts w:ascii="Arial" w:cs="Arial" w:eastAsia="Arial" w:hAnsi="Arial"/>
          <w:sz w:val="18"/>
          <w:szCs w:val="18"/>
          <w:color w:val="auto"/>
        </w:rPr>
        <w:t>The registration of transfers may, after compliance with any notice required of the Nasdaq Global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jc w:val="both"/>
        <w:ind w:left="240" w:right="20" w:firstLine="438"/>
        <w:spacing w:after="0" w:line="295"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the winding up of our company, if the assets available for distribution amongst our shareholders shall be more than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58"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days prior to the specified time of payment. The shares that have been called upon and remain unpaid are subject to forfeiture.</w:t>
      </w:r>
    </w:p>
    <w:p>
      <w:pPr>
        <w:spacing w:after="0" w:line="181"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i w:val="1"/>
          <w:iCs w:val="1"/>
          <w:color w:val="auto"/>
        </w:rPr>
        <w:t>Redemption, Repurchase and Surrender of Shares</w:t>
      </w:r>
      <w:r>
        <w:rPr>
          <w:rFonts w:ascii="Arial" w:cs="Arial" w:eastAsia="Arial" w:hAnsi="Arial"/>
          <w:sz w:val="17"/>
          <w:szCs w:val="17"/>
          <w:color w:val="auto"/>
        </w:rPr>
        <w:t>. We may issue shares on terms that such shares are subject to redemption, at our option or at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of the holders of these shares, on such terms and in such manner as may be determined by our board of directors, or by the shareholders by special resolutions.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4" w:lineRule="exact"/>
        <w:rPr>
          <w:sz w:val="20"/>
          <w:szCs w:val="20"/>
          <w:color w:val="auto"/>
        </w:rPr>
      </w:pPr>
    </w:p>
    <w:p>
      <w:pPr>
        <w:ind w:left="240" w:firstLine="438"/>
        <w:spacing w:after="0" w:line="272" w:lineRule="auto"/>
        <w:rPr>
          <w:sz w:val="20"/>
          <w:szCs w:val="20"/>
          <w:color w:val="auto"/>
        </w:rPr>
      </w:pPr>
      <w:r>
        <w:rPr>
          <w:rFonts w:ascii="Arial" w:cs="Arial" w:eastAsia="Arial" w:hAnsi="Arial"/>
          <w:sz w:val="17"/>
          <w:szCs w:val="17"/>
          <w:i w:val="1"/>
          <w:iCs w:val="1"/>
          <w:color w:val="auto"/>
        </w:rPr>
        <w:t>Variations of Rights of Shares</w:t>
      </w:r>
      <w:r>
        <w:rPr>
          <w:rFonts w:ascii="Arial" w:cs="Arial" w:eastAsia="Arial" w:hAnsi="Arial"/>
          <w:sz w:val="17"/>
          <w:szCs w:val="17"/>
          <w:color w:val="auto"/>
        </w:rPr>
        <w:t>. If at any time, our share capital is divided into different classes of shares, the rights attached to any class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(unless otherwise provided by the terms of issue of the shares of that class), whether or not our company is being wound-up, may be varied with the consent in writing of the holders of two-thirds of the issued shares of that class or with the sanction of a resolution passed at a separate meeting of the holders of the shares of the class by the holders of two-thirds of the issued shares of that class.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such existing class of shares.</w:t>
      </w:r>
    </w:p>
    <w:p>
      <w:pPr>
        <w:spacing w:after="0" w:line="175" w:lineRule="exact"/>
        <w:rPr>
          <w:sz w:val="20"/>
          <w:szCs w:val="20"/>
          <w:color w:val="auto"/>
        </w:rPr>
      </w:pPr>
    </w:p>
    <w:p>
      <w:pPr>
        <w:ind w:left="240" w:right="380" w:firstLine="438"/>
        <w:spacing w:after="0" w:line="339" w:lineRule="auto"/>
        <w:rPr>
          <w:sz w:val="20"/>
          <w:szCs w:val="20"/>
          <w:color w:val="auto"/>
        </w:rPr>
      </w:pPr>
      <w:r>
        <w:rPr>
          <w:rFonts w:ascii="Arial" w:cs="Arial" w:eastAsia="Arial" w:hAnsi="Arial"/>
          <w:sz w:val="16"/>
          <w:szCs w:val="16"/>
          <w:i w:val="1"/>
          <w:iCs w:val="1"/>
          <w:color w:val="auto"/>
        </w:rPr>
        <w:t>Issuance of Additional Shares</w:t>
      </w:r>
      <w:r>
        <w:rPr>
          <w:rFonts w:ascii="Arial" w:cs="Arial" w:eastAsia="Arial" w:hAnsi="Arial"/>
          <w:sz w:val="16"/>
          <w:szCs w:val="16"/>
          <w:color w:val="auto"/>
        </w:rPr>
        <w:t>. Our post-offering amended and restated memorandum of association authorizes our board of directors to issue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ordinary shares from time to time as our board of directors shall determine, to the extent of available authorized but unissued shares.</w:t>
      </w:r>
    </w:p>
    <w:p>
      <w:pPr>
        <w:spacing w:after="0" w:line="125" w:lineRule="exact"/>
        <w:rPr>
          <w:sz w:val="20"/>
          <w:szCs w:val="20"/>
          <w:color w:val="auto"/>
        </w:rPr>
      </w:pPr>
    </w:p>
    <w:p>
      <w:pPr>
        <w:ind w:left="240" w:right="200" w:firstLine="438"/>
        <w:spacing w:after="0" w:line="339" w:lineRule="auto"/>
        <w:rPr>
          <w:sz w:val="20"/>
          <w:szCs w:val="20"/>
          <w:color w:val="auto"/>
        </w:rPr>
      </w:pPr>
      <w:r>
        <w:rPr>
          <w:rFonts w:ascii="Arial" w:cs="Arial" w:eastAsia="Arial" w:hAnsi="Arial"/>
          <w:sz w:val="16"/>
          <w:szCs w:val="16"/>
          <w:color w:val="auto"/>
        </w:rPr>
        <w:t>Our post-offering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31" w:lineRule="exact"/>
        <w:rPr>
          <w:sz w:val="20"/>
          <w:szCs w:val="20"/>
          <w:color w:val="auto"/>
        </w:rPr>
      </w:pPr>
    </w:p>
    <w:p>
      <w:pPr>
        <w:ind w:left="1100" w:hanging="435"/>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60"/>
          </w:cols>
          <w:pgMar w:left="240" w:top="457"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300" w:firstLine="438"/>
        <w:spacing w:after="0" w:line="275"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left="240" w:right="80" w:firstLine="438"/>
        <w:spacing w:after="0" w:line="262" w:lineRule="auto"/>
        <w:rPr>
          <w:sz w:val="20"/>
          <w:szCs w:val="20"/>
          <w:color w:val="auto"/>
        </w:rPr>
      </w:pPr>
      <w:r>
        <w:rPr>
          <w:rFonts w:ascii="Arial" w:cs="Arial" w:eastAsia="Arial" w:hAnsi="Arial"/>
          <w:sz w:val="18"/>
          <w:szCs w:val="18"/>
          <w:i w:val="1"/>
          <w:iCs w:val="1"/>
          <w:color w:val="auto"/>
        </w:rPr>
        <w:t>Inspection of Books and Records</w:t>
      </w:r>
      <w:r>
        <w:rPr>
          <w:rFonts w:ascii="Arial" w:cs="Arial" w:eastAsia="Arial" w:hAnsi="Arial"/>
          <w:sz w:val="18"/>
          <w:szCs w:val="18"/>
          <w:color w:val="auto"/>
        </w:rPr>
        <w:t>. Holders of our ordinary shares will have no general right under Cayman Islands law to inspect or obtain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left="240" w:right="420" w:firstLine="438"/>
        <w:spacing w:after="0" w:line="305" w:lineRule="auto"/>
        <w:rPr>
          <w:sz w:val="20"/>
          <w:szCs w:val="20"/>
          <w:color w:val="auto"/>
        </w:rPr>
      </w:pPr>
      <w:r>
        <w:rPr>
          <w:rFonts w:ascii="Arial" w:cs="Arial" w:eastAsia="Arial" w:hAnsi="Arial"/>
          <w:sz w:val="17"/>
          <w:szCs w:val="17"/>
          <w:i w:val="1"/>
          <w:iCs w:val="1"/>
          <w:color w:val="auto"/>
        </w:rPr>
        <w:t>Anti-Takeover Provisions</w:t>
      </w:r>
      <w:r>
        <w:rPr>
          <w:rFonts w:ascii="Arial" w:cs="Arial" w:eastAsia="Arial" w:hAnsi="Arial"/>
          <w:sz w:val="17"/>
          <w:szCs w:val="17"/>
          <w:color w:val="auto"/>
        </w:rPr>
        <w:t>. Some provisions of our post-offering memorandum and articles of association may discourage, delay or prevent a</w:t>
      </w:r>
      <w:r>
        <w:rPr>
          <w:rFonts w:ascii="Arial" w:cs="Arial" w:eastAsia="Arial" w:hAnsi="Arial"/>
          <w:sz w:val="17"/>
          <w:szCs w:val="17"/>
          <w:i w:val="1"/>
          <w:iCs w:val="1"/>
          <w:color w:val="auto"/>
        </w:rPr>
        <w:t xml:space="preserve"> </w:t>
      </w:r>
      <w:r>
        <w:rPr>
          <w:rFonts w:ascii="Arial" w:cs="Arial" w:eastAsia="Arial" w:hAnsi="Arial"/>
          <w:sz w:val="17"/>
          <w:szCs w:val="17"/>
          <w:color w:val="auto"/>
        </w:rPr>
        <w:t>change of control of our company or management that shareholders may consider favorable, including provisions that:</w:t>
      </w:r>
    </w:p>
    <w:p>
      <w:pPr>
        <w:spacing w:after="0" w:line="40" w:lineRule="exact"/>
        <w:rPr>
          <w:sz w:val="20"/>
          <w:szCs w:val="20"/>
          <w:color w:val="auto"/>
        </w:rPr>
      </w:pPr>
    </w:p>
    <w:p>
      <w:pPr>
        <w:ind w:left="680" w:right="400"/>
        <w:spacing w:after="0" w:line="275" w:lineRule="auto"/>
        <w:rPr>
          <w:sz w:val="20"/>
          <w:szCs w:val="20"/>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limit the ability of shareholders to requisition and convene general meetings of shareholders.</w:t>
      </w:r>
    </w:p>
    <w:p>
      <w:pPr>
        <w:spacing w:after="0" w:line="223" w:lineRule="exact"/>
        <w:rPr>
          <w:sz w:val="20"/>
          <w:szCs w:val="20"/>
          <w:color w:val="auto"/>
        </w:rPr>
      </w:pPr>
    </w:p>
    <w:p>
      <w:pPr>
        <w:ind w:left="240" w:firstLine="438"/>
        <w:spacing w:after="0" w:line="305" w:lineRule="auto"/>
        <w:rPr>
          <w:sz w:val="20"/>
          <w:szCs w:val="20"/>
          <w:color w:val="auto"/>
        </w:rPr>
      </w:pPr>
      <w:r>
        <w:rPr>
          <w:rFonts w:ascii="Arial" w:cs="Arial" w:eastAsia="Arial" w:hAnsi="Arial"/>
          <w:sz w:val="17"/>
          <w:szCs w:val="17"/>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48" w:lineRule="exact"/>
        <w:rPr>
          <w:sz w:val="20"/>
          <w:szCs w:val="20"/>
          <w:color w:val="auto"/>
        </w:rPr>
      </w:pPr>
    </w:p>
    <w:p>
      <w:pPr>
        <w:ind w:left="240" w:right="60" w:firstLine="438"/>
        <w:spacing w:after="0" w:line="257" w:lineRule="auto"/>
        <w:rPr>
          <w:sz w:val="20"/>
          <w:szCs w:val="20"/>
          <w:color w:val="auto"/>
        </w:rPr>
      </w:pPr>
      <w:r>
        <w:rPr>
          <w:rFonts w:ascii="Arial" w:cs="Arial" w:eastAsia="Arial" w:hAnsi="Arial"/>
          <w:sz w:val="18"/>
          <w:szCs w:val="18"/>
          <w:i w:val="1"/>
          <w:iCs w:val="1"/>
          <w:color w:val="auto"/>
        </w:rPr>
        <w:t>Exempted Company</w:t>
      </w:r>
      <w:r>
        <w:rPr>
          <w:rFonts w:ascii="Arial" w:cs="Arial" w:eastAsia="Arial" w:hAnsi="Arial"/>
          <w:sz w:val="18"/>
          <w:szCs w:val="18"/>
          <w:color w:val="auto"/>
        </w:rPr>
        <w:t>. 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4" w:lineRule="exact"/>
        <w:rPr>
          <w:sz w:val="20"/>
          <w:szCs w:val="20"/>
          <w:color w:val="auto"/>
        </w:rPr>
      </w:pPr>
    </w:p>
    <w:p>
      <w:pPr>
        <w:ind w:left="1100" w:hanging="435"/>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28" w:lineRule="exact"/>
        <w:rPr>
          <w:rFonts w:ascii="Arial" w:cs="Arial" w:eastAsia="Arial" w:hAnsi="Arial"/>
          <w:sz w:val="18"/>
          <w:szCs w:val="18"/>
          <w:color w:val="auto"/>
        </w:rPr>
      </w:pPr>
    </w:p>
    <w:p>
      <w:pPr>
        <w:ind w:left="1100" w:right="560" w:hanging="435"/>
        <w:spacing w:after="0" w:line="275" w:lineRule="auto"/>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may register as an exempted limited duration company; and</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“Limited liability” means that the liability of each shareholder is limited to the amount unpaid by the shareholder on the shares of the company.]</w:t>
      </w:r>
    </w:p>
    <w:p>
      <w:pPr>
        <w:spacing w:after="0" w:line="3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[Differences in Corporate Law</w:t>
      </w:r>
    </w:p>
    <w:p>
      <w:pPr>
        <w:spacing w:after="0" w:line="119" w:lineRule="exact"/>
        <w:rPr>
          <w:sz w:val="20"/>
          <w:szCs w:val="20"/>
          <w:color w:val="auto"/>
        </w:rPr>
      </w:pPr>
    </w:p>
    <w:p>
      <w:pPr>
        <w:ind w:left="240" w:right="60" w:firstLine="438"/>
        <w:spacing w:after="0" w:line="284" w:lineRule="auto"/>
        <w:rPr>
          <w:sz w:val="20"/>
          <w:szCs w:val="20"/>
          <w:color w:val="auto"/>
        </w:rPr>
      </w:pPr>
      <w:r>
        <w:rPr>
          <w:rFonts w:ascii="Arial" w:cs="Arial" w:eastAsia="Arial" w:hAnsi="Arial"/>
          <w:sz w:val="17"/>
          <w:szCs w:val="17"/>
          <w:color w:val="auto"/>
        </w:rPr>
        <w:t>The Companies Law is modeled after that of England but does not follow recent English statutory enactments and differs from laws applicable to U.S.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65" w:lineRule="exact"/>
        <w:rPr>
          <w:sz w:val="20"/>
          <w:szCs w:val="20"/>
          <w:color w:val="auto"/>
        </w:rPr>
      </w:pPr>
    </w:p>
    <w:p>
      <w:pPr>
        <w:ind w:left="240" w:right="180" w:firstLine="438"/>
        <w:spacing w:after="0" w:line="262" w:lineRule="auto"/>
        <w:rPr>
          <w:sz w:val="20"/>
          <w:szCs w:val="20"/>
          <w:color w:val="auto"/>
        </w:rPr>
      </w:pPr>
      <w:r>
        <w:rPr>
          <w:rFonts w:ascii="Arial" w:cs="Arial" w:eastAsia="Arial" w:hAnsi="Arial"/>
          <w:sz w:val="18"/>
          <w:szCs w:val="18"/>
          <w:i w:val="1"/>
          <w:iCs w:val="1"/>
          <w:color w:val="auto"/>
        </w:rPr>
        <w:t>Mergers and Similar Arrangements</w:t>
      </w:r>
      <w:r>
        <w:rPr>
          <w:rFonts w:ascii="Arial" w:cs="Arial" w:eastAsia="Arial" w:hAnsi="Arial"/>
          <w:sz w:val="18"/>
          <w:szCs w:val="18"/>
          <w:color w:val="auto"/>
        </w:rPr>
        <w:t>. The Companies Law permits mergers and consolidations between Cayman Islands companies and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companies and non-Cayman Islands companies. For these purposes, (a) “merger” means the merging of two or more constituent companies and the vesting of their</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240" w:top="458"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68" w:lineRule="auto"/>
        <w:rPr>
          <w:sz w:val="20"/>
          <w:szCs w:val="20"/>
          <w:color w:val="auto"/>
        </w:rPr>
      </w:pPr>
      <w:r>
        <w:rPr>
          <w:rFonts w:ascii="Arial" w:cs="Arial" w:eastAsia="Arial" w:hAnsi="Arial"/>
          <w:sz w:val="17"/>
          <w:szCs w:val="17"/>
          <w:color w:val="auto"/>
        </w:rPr>
        <w:t>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84" w:lineRule="exact"/>
        <w:rPr>
          <w:sz w:val="20"/>
          <w:szCs w:val="20"/>
          <w:color w:val="auto"/>
        </w:rPr>
      </w:pPr>
    </w:p>
    <w:p>
      <w:pPr>
        <w:ind w:left="240" w:right="40" w:firstLine="438"/>
        <w:spacing w:after="0" w:line="257"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8" w:lineRule="exact"/>
        <w:rPr>
          <w:sz w:val="20"/>
          <w:szCs w:val="20"/>
          <w:color w:val="auto"/>
        </w:rPr>
      </w:pPr>
    </w:p>
    <w:p>
      <w:pPr>
        <w:ind w:left="240" w:right="260" w:firstLine="438"/>
        <w:spacing w:after="0" w:line="275"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240" w:firstLine="438"/>
        <w:spacing w:after="0" w:line="274" w:lineRule="auto"/>
        <w:rPr>
          <w:sz w:val="20"/>
          <w:szCs w:val="20"/>
          <w:color w:val="auto"/>
        </w:rPr>
      </w:pPr>
      <w:r>
        <w:rPr>
          <w:rFonts w:ascii="Arial" w:cs="Arial" w:eastAsia="Arial" w:hAnsi="Arial"/>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73" w:lineRule="exact"/>
        <w:rPr>
          <w:sz w:val="20"/>
          <w:szCs w:val="20"/>
          <w:color w:val="auto"/>
        </w:rPr>
      </w:pPr>
    </w:p>
    <w:p>
      <w:pPr>
        <w:ind w:left="240" w:right="60" w:firstLine="438"/>
        <w:spacing w:after="0" w:line="270" w:lineRule="auto"/>
        <w:rPr>
          <w:sz w:val="20"/>
          <w:szCs w:val="20"/>
          <w:color w:val="auto"/>
        </w:rPr>
      </w:pPr>
      <w:r>
        <w:rPr>
          <w:rFonts w:ascii="Arial" w:cs="Arial" w:eastAsia="Arial" w:hAnsi="Arial"/>
          <w:sz w:val="17"/>
          <w:szCs w:val="17"/>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5" w:lineRule="exact"/>
        <w:rPr>
          <w:sz w:val="20"/>
          <w:szCs w:val="20"/>
          <w:color w:val="auto"/>
        </w:rPr>
      </w:pPr>
    </w:p>
    <w:p>
      <w:pPr>
        <w:ind w:left="1100" w:hanging="435"/>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28" w:lineRule="exact"/>
        <w:rPr>
          <w:rFonts w:ascii="Arial" w:cs="Arial" w:eastAsia="Arial" w:hAnsi="Arial"/>
          <w:sz w:val="18"/>
          <w:szCs w:val="18"/>
          <w:color w:val="auto"/>
        </w:rPr>
      </w:pPr>
    </w:p>
    <w:p>
      <w:pPr>
        <w:ind w:left="1100" w:right="160" w:hanging="435"/>
        <w:spacing w:after="0" w:line="275" w:lineRule="auto"/>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1" w:lineRule="exact"/>
        <w:rPr>
          <w:rFonts w:ascii="Arial" w:cs="Arial" w:eastAsia="Arial" w:hAnsi="Arial"/>
          <w:sz w:val="16"/>
          <w:szCs w:val="16"/>
          <w:color w:val="auto"/>
        </w:rPr>
      </w:pPr>
    </w:p>
    <w:p>
      <w:pPr>
        <w:ind w:left="1100" w:hanging="435"/>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3" w:lineRule="exact"/>
        <w:rPr>
          <w:sz w:val="20"/>
          <w:szCs w:val="20"/>
          <w:color w:val="auto"/>
        </w:rPr>
      </w:pPr>
    </w:p>
    <w:p>
      <w:pPr>
        <w:ind w:left="240" w:right="40" w:firstLine="438"/>
        <w:spacing w:after="0" w:line="309" w:lineRule="auto"/>
        <w:rPr>
          <w:sz w:val="20"/>
          <w:szCs w:val="20"/>
          <w:color w:val="auto"/>
        </w:rPr>
      </w:pPr>
      <w:r>
        <w:rPr>
          <w:rFonts w:ascii="Arial" w:cs="Arial" w:eastAsia="Arial" w:hAnsi="Arial"/>
          <w:sz w:val="16"/>
          <w:szCs w:val="16"/>
          <w:color w:val="auto"/>
        </w:rPr>
        <w:t>The Companies Law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 month period, require the holders of the remaining shares to transfer</w:t>
      </w:r>
    </w:p>
    <w:p>
      <w:pPr>
        <w:spacing w:after="0" w:line="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80"/>
          </w:cols>
          <w:pgMar w:left="240" w:top="458"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75" w:lineRule="auto"/>
        <w:rPr>
          <w:sz w:val="20"/>
          <w:szCs w:val="20"/>
          <w:color w:val="auto"/>
        </w:rPr>
      </w:pPr>
      <w:r>
        <w:rPr>
          <w:rFonts w:ascii="Arial" w:cs="Arial" w:eastAsia="Arial" w:hAnsi="Arial"/>
          <w:sz w:val="18"/>
          <w:szCs w:val="18"/>
          <w:color w:val="auto"/>
        </w:rPr>
        <w:t>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0" w:lineRule="exact"/>
        <w:rPr>
          <w:sz w:val="20"/>
          <w:szCs w:val="20"/>
          <w:color w:val="auto"/>
        </w:rPr>
      </w:pPr>
    </w:p>
    <w:p>
      <w:pPr>
        <w:ind w:left="240" w:right="260" w:firstLine="438"/>
        <w:spacing w:after="0" w:line="300" w:lineRule="auto"/>
        <w:rPr>
          <w:sz w:val="20"/>
          <w:szCs w:val="20"/>
          <w:color w:val="auto"/>
        </w:rPr>
      </w:pPr>
      <w:r>
        <w:rPr>
          <w:rFonts w:ascii="Arial" w:cs="Arial" w:eastAsia="Arial" w:hAnsi="Arial"/>
          <w:sz w:val="16"/>
          <w:szCs w:val="16"/>
          <w:color w:val="auto"/>
        </w:rPr>
        <w:t>If an arrangement and reconstruction is thus approved, or if a tender offer is made and accepted,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54" w:lineRule="exact"/>
        <w:rPr>
          <w:sz w:val="20"/>
          <w:szCs w:val="20"/>
          <w:color w:val="auto"/>
        </w:rPr>
      </w:pPr>
    </w:p>
    <w:p>
      <w:pPr>
        <w:ind w:left="240" w:right="140" w:firstLine="438"/>
        <w:spacing w:after="0" w:line="262"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and as a general rule a derivative action may not be brought by a</w:t>
      </w:r>
      <w:r>
        <w:rPr>
          <w:rFonts w:ascii="Arial" w:cs="Arial" w:eastAsia="Arial" w:hAnsi="Arial"/>
          <w:sz w:val="18"/>
          <w:szCs w:val="18"/>
          <w:i w:val="1"/>
          <w:iCs w:val="1"/>
          <w:color w:val="auto"/>
        </w:rPr>
        <w:t xml:space="preserve"> </w:t>
      </w:r>
      <w:r>
        <w:rPr>
          <w:rFonts w:ascii="Arial" w:cs="Arial" w:eastAsia="Arial" w:hAnsi="Arial"/>
          <w:sz w:val="18"/>
          <w:szCs w:val="18"/>
          <w:color w:val="auto"/>
        </w:rPr>
        <w:t>minority shareholder. However, based on English authorities, which would in all likelihood be of persuasive authority in the Cayman Islands, there are exceptions to the foregoing principle, including when:</w:t>
      </w:r>
    </w:p>
    <w:p>
      <w:pPr>
        <w:spacing w:after="0" w:line="87" w:lineRule="exact"/>
        <w:rPr>
          <w:sz w:val="20"/>
          <w:szCs w:val="20"/>
          <w:color w:val="auto"/>
        </w:rPr>
      </w:pPr>
    </w:p>
    <w:p>
      <w:pPr>
        <w:ind w:left="1100" w:hanging="435"/>
        <w:spacing w:after="0"/>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28" w:lineRule="exact"/>
        <w:rPr>
          <w:rFonts w:ascii="Arial" w:cs="Arial" w:eastAsia="Arial" w:hAnsi="Arial"/>
          <w:sz w:val="18"/>
          <w:szCs w:val="18"/>
          <w:color w:val="auto"/>
        </w:rPr>
      </w:pPr>
    </w:p>
    <w:p>
      <w:pPr>
        <w:ind w:left="1100" w:right="260" w:hanging="435"/>
        <w:spacing w:after="0" w:line="275" w:lineRule="auto"/>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3" w:lineRule="exact"/>
        <w:rPr>
          <w:sz w:val="20"/>
          <w:szCs w:val="20"/>
          <w:color w:val="auto"/>
        </w:rPr>
      </w:pPr>
    </w:p>
    <w:p>
      <w:pPr>
        <w:ind w:left="240" w:right="120" w:firstLine="438"/>
        <w:spacing w:after="0" w:line="253" w:lineRule="auto"/>
        <w:rPr>
          <w:sz w:val="20"/>
          <w:szCs w:val="20"/>
          <w:color w:val="auto"/>
        </w:rPr>
      </w:pPr>
      <w:r>
        <w:rPr>
          <w:rFonts w:ascii="Arial" w:cs="Arial" w:eastAsia="Arial" w:hAnsi="Arial"/>
          <w:sz w:val="18"/>
          <w:szCs w:val="18"/>
          <w:i w:val="1"/>
          <w:iCs w:val="1"/>
          <w:color w:val="auto"/>
        </w:rPr>
        <w:t>Indemnification of Directors and Executive Officers and Limitation of Liability</w:t>
      </w:r>
      <w:r>
        <w:rPr>
          <w:rFonts w:ascii="Arial" w:cs="Arial" w:eastAsia="Arial" w:hAnsi="Arial"/>
          <w:sz w:val="18"/>
          <w:szCs w:val="18"/>
          <w:color w:val="auto"/>
        </w:rPr>
        <w:t>. Cayman Islands law does not limit the extent to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91" w:lineRule="exact"/>
        <w:rPr>
          <w:sz w:val="20"/>
          <w:szCs w:val="20"/>
          <w:color w:val="auto"/>
        </w:rPr>
      </w:pPr>
    </w:p>
    <w:p>
      <w:pPr>
        <w:ind w:left="240" w:right="160" w:firstLine="438"/>
        <w:spacing w:after="0" w:line="305" w:lineRule="auto"/>
        <w:rPr>
          <w:sz w:val="20"/>
          <w:szCs w:val="20"/>
          <w:color w:val="auto"/>
        </w:rPr>
      </w:pPr>
      <w:r>
        <w:rPr>
          <w:rFonts w:ascii="Arial" w:cs="Arial" w:eastAsia="Arial" w:hAnsi="Arial"/>
          <w:sz w:val="17"/>
          <w:szCs w:val="17"/>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8"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240" w:right="60" w:firstLine="438"/>
        <w:spacing w:after="0" w:line="268" w:lineRule="auto"/>
        <w:rPr>
          <w:sz w:val="20"/>
          <w:szCs w:val="20"/>
          <w:color w:val="auto"/>
        </w:rPr>
      </w:pPr>
      <w:r>
        <w:rPr>
          <w:rFonts w:ascii="Arial" w:cs="Arial" w:eastAsia="Arial" w:hAnsi="Arial"/>
          <w:sz w:val="17"/>
          <w:szCs w:val="17"/>
          <w:i w:val="1"/>
          <w:iCs w:val="1"/>
          <w:color w:val="auto"/>
        </w:rPr>
        <w:t>Directors’ Fiduciary Duties</w:t>
      </w:r>
      <w:r>
        <w:rPr>
          <w:rFonts w:ascii="Arial" w:cs="Arial" w:eastAsia="Arial" w:hAnsi="Arial"/>
          <w:sz w:val="17"/>
          <w:szCs w:val="17"/>
          <w:color w:val="auto"/>
        </w:rPr>
        <w:t>. Under Delaware corporate law, a director of a Delaware corporation has a fiduciary duty to the corporation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60"/>
          </w:cols>
          <w:pgMar w:left="240" w:top="457"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00"/>
        <w:spacing w:after="0" w:line="275" w:lineRule="auto"/>
        <w:rPr>
          <w:sz w:val="20"/>
          <w:szCs w:val="20"/>
          <w:color w:val="auto"/>
        </w:rPr>
      </w:pPr>
      <w:r>
        <w:rPr>
          <w:rFonts w:ascii="Arial" w:cs="Arial" w:eastAsia="Arial" w:hAnsi="Arial"/>
          <w:sz w:val="18"/>
          <w:szCs w:val="18"/>
          <w:color w:val="auto"/>
        </w:rPr>
        <w:t>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0" w:lineRule="exact"/>
        <w:rPr>
          <w:sz w:val="20"/>
          <w:szCs w:val="20"/>
          <w:color w:val="auto"/>
        </w:rPr>
      </w:pPr>
    </w:p>
    <w:p>
      <w:pPr>
        <w:ind w:left="240" w:right="40" w:firstLine="438"/>
        <w:spacing w:after="0" w:line="290" w:lineRule="auto"/>
        <w:rPr>
          <w:sz w:val="20"/>
          <w:szCs w:val="20"/>
          <w:color w:val="auto"/>
        </w:rPr>
      </w:pPr>
      <w:r>
        <w:rPr>
          <w:rFonts w:ascii="Arial" w:cs="Arial" w:eastAsia="Arial" w:hAnsi="Arial"/>
          <w:sz w:val="16"/>
          <w:szCs w:val="16"/>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and a duty not to put himself in a position where the interests of the company conflict with his personal interest or his duty to a third party.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62" w:lineRule="exact"/>
        <w:rPr>
          <w:sz w:val="20"/>
          <w:szCs w:val="20"/>
          <w:color w:val="auto"/>
        </w:rPr>
      </w:pPr>
    </w:p>
    <w:p>
      <w:pPr>
        <w:ind w:left="240" w:right="220" w:firstLine="438"/>
        <w:spacing w:after="0" w:line="277" w:lineRule="auto"/>
        <w:rPr>
          <w:sz w:val="20"/>
          <w:szCs w:val="20"/>
          <w:color w:val="auto"/>
        </w:rPr>
      </w:pPr>
      <w:r>
        <w:rPr>
          <w:rFonts w:ascii="Arial" w:cs="Arial" w:eastAsia="Arial" w:hAnsi="Arial"/>
          <w:sz w:val="17"/>
          <w:szCs w:val="17"/>
          <w:i w:val="1"/>
          <w:iCs w:val="1"/>
          <w:color w:val="auto"/>
        </w:rPr>
        <w:t>Shareholder Action by Written Consent</w:t>
      </w:r>
      <w:r>
        <w:rPr>
          <w:rFonts w:ascii="Arial" w:cs="Arial" w:eastAsia="Arial" w:hAnsi="Arial"/>
          <w:sz w:val="17"/>
          <w:szCs w:val="17"/>
          <w:color w:val="auto"/>
        </w:rPr>
        <w:t>. Under the Delaware General Corporation Law, a corporation may eliminate the right of shareholders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act by 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2" w:lineRule="exact"/>
        <w:rPr>
          <w:sz w:val="20"/>
          <w:szCs w:val="20"/>
          <w:color w:val="auto"/>
        </w:rPr>
      </w:pPr>
    </w:p>
    <w:p>
      <w:pPr>
        <w:jc w:val="both"/>
        <w:ind w:left="240" w:right="120" w:firstLine="438"/>
        <w:spacing w:after="0" w:line="309" w:lineRule="auto"/>
        <w:rPr>
          <w:sz w:val="20"/>
          <w:szCs w:val="20"/>
          <w:color w:val="auto"/>
        </w:rPr>
      </w:pPr>
      <w:r>
        <w:rPr>
          <w:rFonts w:ascii="Arial" w:cs="Arial" w:eastAsia="Arial" w:hAnsi="Arial"/>
          <w:sz w:val="16"/>
          <w:szCs w:val="16"/>
          <w:i w:val="1"/>
          <w:iCs w:val="1"/>
          <w:color w:val="auto"/>
        </w:rPr>
        <w:t>Shareholder Proposals</w:t>
      </w:r>
      <w:r>
        <w:rPr>
          <w:rFonts w:ascii="Arial" w:cs="Arial" w:eastAsia="Arial" w:hAnsi="Arial"/>
          <w:sz w:val="16"/>
          <w:szCs w:val="16"/>
          <w:color w:val="auto"/>
        </w:rPr>
        <w:t>. Under the Delaware General Corporation Law, a shareholder has the right to put any proposal before the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9" w:lineRule="exact"/>
        <w:rPr>
          <w:sz w:val="20"/>
          <w:szCs w:val="20"/>
          <w:color w:val="auto"/>
        </w:rPr>
      </w:pPr>
    </w:p>
    <w:p>
      <w:pPr>
        <w:ind w:left="240" w:right="100" w:firstLine="438"/>
        <w:spacing w:after="0" w:line="269" w:lineRule="auto"/>
        <w:rPr>
          <w:sz w:val="20"/>
          <w:szCs w:val="20"/>
          <w:color w:val="auto"/>
        </w:rPr>
      </w:pPr>
      <w:r>
        <w:rPr>
          <w:rFonts w:ascii="Arial" w:cs="Arial" w:eastAsia="Arial" w:hAnsi="Arial"/>
          <w:sz w:val="17"/>
          <w:szCs w:val="17"/>
          <w:color w:val="auto"/>
        </w:rPr>
        <w:t>The Companies Law provide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81" w:lineRule="exact"/>
        <w:rPr>
          <w:sz w:val="20"/>
          <w:szCs w:val="20"/>
          <w:color w:val="auto"/>
        </w:rPr>
      </w:pPr>
    </w:p>
    <w:p>
      <w:pPr>
        <w:ind w:left="240" w:firstLine="438"/>
        <w:spacing w:after="0" w:line="272" w:lineRule="auto"/>
        <w:rPr>
          <w:sz w:val="20"/>
          <w:szCs w:val="20"/>
          <w:color w:val="auto"/>
        </w:rPr>
      </w:pPr>
      <w:r>
        <w:rPr>
          <w:rFonts w:ascii="Arial" w:cs="Arial" w:eastAsia="Arial" w:hAnsi="Arial"/>
          <w:sz w:val="17"/>
          <w:szCs w:val="17"/>
          <w:i w:val="1"/>
          <w:iCs w:val="1"/>
          <w:color w:val="auto"/>
        </w:rPr>
        <w:t>Cumulative Voting</w:t>
      </w:r>
      <w:r>
        <w:rPr>
          <w:rFonts w:ascii="Arial" w:cs="Arial" w:eastAsia="Arial" w:hAnsi="Arial"/>
          <w:sz w:val="17"/>
          <w:szCs w:val="17"/>
          <w:color w:val="auto"/>
        </w:rPr>
        <w:t>. Under the Delaware General Corporation Law, cumulative voting for elections of directors is not permitted unless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5" w:lineRule="exact"/>
        <w:rPr>
          <w:sz w:val="20"/>
          <w:szCs w:val="20"/>
          <w:color w:val="auto"/>
        </w:rPr>
      </w:pPr>
    </w:p>
    <w:p>
      <w:pPr>
        <w:ind w:left="240" w:right="100" w:firstLine="438"/>
        <w:spacing w:after="0" w:line="257"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Under the Delaware General Corporation Law, a director of a corporation with a classified board may be removed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80"/>
          </w:cols>
          <w:pgMar w:left="240" w:top="457"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firstLine="438"/>
        <w:spacing w:after="0" w:line="268" w:lineRule="auto"/>
        <w:rPr>
          <w:sz w:val="20"/>
          <w:szCs w:val="20"/>
          <w:color w:val="auto"/>
        </w:rPr>
      </w:pPr>
      <w:r>
        <w:rPr>
          <w:rFonts w:ascii="Arial" w:cs="Arial" w:eastAsia="Arial" w:hAnsi="Arial"/>
          <w:sz w:val="17"/>
          <w:szCs w:val="17"/>
          <w:i w:val="1"/>
          <w:iCs w:val="1"/>
          <w:color w:val="auto"/>
        </w:rPr>
        <w:t>Transactions with Interested Shareholders</w:t>
      </w:r>
      <w:r>
        <w:rPr>
          <w:rFonts w:ascii="Arial" w:cs="Arial" w:eastAsia="Arial" w:hAnsi="Arial"/>
          <w:sz w:val="17"/>
          <w:szCs w:val="17"/>
          <w:color w:val="auto"/>
        </w:rPr>
        <w:t>. The Delaware General Corporation Law contains a business combination statute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4"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i w:val="1"/>
          <w:iCs w:val="1"/>
          <w:color w:val="auto"/>
        </w:rPr>
        <w:t>Cayman Islands law has no comparable statute</w:t>
      </w:r>
      <w:r>
        <w:rPr>
          <w:rFonts w:ascii="Arial" w:cs="Arial" w:eastAsia="Arial" w:hAnsi="Arial"/>
          <w:sz w:val="18"/>
          <w:szCs w:val="18"/>
          <w:color w:val="auto"/>
        </w:rPr>
        <w:t>. As a result, we cannot avail ourselves of the types of protections afforded by the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8" w:lineRule="exact"/>
        <w:rPr>
          <w:sz w:val="20"/>
          <w:szCs w:val="20"/>
          <w:color w:val="auto"/>
        </w:rPr>
      </w:pPr>
    </w:p>
    <w:p>
      <w:pPr>
        <w:ind w:left="240" w:right="40" w:firstLine="438"/>
        <w:spacing w:after="0" w:line="277" w:lineRule="auto"/>
        <w:rPr>
          <w:sz w:val="20"/>
          <w:szCs w:val="20"/>
          <w:color w:val="auto"/>
        </w:rPr>
      </w:pPr>
      <w:r>
        <w:rPr>
          <w:rFonts w:ascii="Arial" w:cs="Arial" w:eastAsia="Arial" w:hAnsi="Arial"/>
          <w:sz w:val="17"/>
          <w:szCs w:val="17"/>
          <w:i w:val="1"/>
          <w:iCs w:val="1"/>
          <w:color w:val="auto"/>
        </w:rPr>
        <w:t>Dissolution; Winding up</w:t>
      </w:r>
      <w:r>
        <w:rPr>
          <w:rFonts w:ascii="Arial" w:cs="Arial" w:eastAsia="Arial" w:hAnsi="Arial"/>
          <w:sz w:val="17"/>
          <w:szCs w:val="17"/>
          <w:color w:val="auto"/>
        </w:rPr>
        <w:t>. Under the Delaware General Corporation Law, unless the board of directors approves the proposal to dissolve,</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2"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w:t>
      </w:r>
    </w:p>
    <w:p>
      <w:pPr>
        <w:spacing w:after="0" w:line="189" w:lineRule="exact"/>
        <w:rPr>
          <w:sz w:val="20"/>
          <w:szCs w:val="20"/>
          <w:color w:val="auto"/>
        </w:rPr>
      </w:pPr>
    </w:p>
    <w:p>
      <w:pPr>
        <w:ind w:left="240" w:right="60" w:firstLine="438"/>
        <w:spacing w:after="0" w:line="255" w:lineRule="auto"/>
        <w:rPr>
          <w:sz w:val="20"/>
          <w:szCs w:val="20"/>
          <w:color w:val="auto"/>
        </w:rPr>
      </w:pPr>
      <w:r>
        <w:rPr>
          <w:rFonts w:ascii="Arial" w:cs="Arial" w:eastAsia="Arial" w:hAnsi="Arial"/>
          <w:sz w:val="18"/>
          <w:szCs w:val="18"/>
          <w:i w:val="1"/>
          <w:iCs w:val="1"/>
          <w:color w:val="auto"/>
        </w:rPr>
        <w:t>Variation of Rights of Shares</w:t>
      </w:r>
      <w:r>
        <w:rPr>
          <w:rFonts w:ascii="Arial" w:cs="Arial" w:eastAsia="Arial" w:hAnsi="Arial"/>
          <w:sz w:val="18"/>
          <w:szCs w:val="18"/>
          <w:color w:val="auto"/>
        </w:rPr>
        <w:t>. Under the Delaware General Corporation Law, a corporation may vary the rights of a class of shares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89" w:lineRule="exact"/>
        <w:rPr>
          <w:sz w:val="20"/>
          <w:szCs w:val="20"/>
          <w:color w:val="auto"/>
        </w:rPr>
      </w:pPr>
    </w:p>
    <w:p>
      <w:pPr>
        <w:ind w:left="240" w:right="40" w:firstLine="438"/>
        <w:spacing w:after="0" w:line="257" w:lineRule="auto"/>
        <w:rPr>
          <w:sz w:val="20"/>
          <w:szCs w:val="20"/>
          <w:color w:val="auto"/>
        </w:rPr>
      </w:pPr>
      <w:r>
        <w:rPr>
          <w:rFonts w:ascii="Arial" w:cs="Arial" w:eastAsia="Arial" w:hAnsi="Arial"/>
          <w:sz w:val="18"/>
          <w:szCs w:val="18"/>
          <w:i w:val="1"/>
          <w:iCs w:val="1"/>
          <w:color w:val="auto"/>
        </w:rPr>
        <w:t>Amendment of Governing Documents</w:t>
      </w:r>
      <w:r>
        <w:rPr>
          <w:rFonts w:ascii="Arial" w:cs="Arial" w:eastAsia="Arial" w:hAnsi="Arial"/>
          <w:sz w:val="18"/>
          <w:szCs w:val="18"/>
          <w:color w:val="auto"/>
        </w:rPr>
        <w:t>. Under the Delaware General Corporation Law, a corporation’s governing documents may be amended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a majority of the outstanding shares entitled to vote, unless the certificate of incorporation provides otherwise. As permitted by Cayman Islands law, our post-offering amended and restated memorandum and articles of association may only be amended with a special resolution of our shareholders.</w:t>
      </w:r>
    </w:p>
    <w:p>
      <w:pPr>
        <w:spacing w:after="0" w:line="188" w:lineRule="exact"/>
        <w:rPr>
          <w:sz w:val="20"/>
          <w:szCs w:val="20"/>
          <w:color w:val="auto"/>
        </w:rPr>
      </w:pPr>
    </w:p>
    <w:p>
      <w:pPr>
        <w:ind w:left="240" w:right="200" w:firstLine="438"/>
        <w:spacing w:after="0" w:line="257" w:lineRule="auto"/>
        <w:rPr>
          <w:sz w:val="20"/>
          <w:szCs w:val="20"/>
          <w:color w:val="auto"/>
        </w:rPr>
      </w:pPr>
      <w:r>
        <w:rPr>
          <w:rFonts w:ascii="Arial" w:cs="Arial" w:eastAsia="Arial" w:hAnsi="Arial"/>
          <w:sz w:val="18"/>
          <w:szCs w:val="18"/>
          <w:i w:val="1"/>
          <w:iCs w:val="1"/>
          <w:color w:val="auto"/>
        </w:rPr>
        <w:t>Rights of Non-resident or Foreign Shareholders</w:t>
      </w:r>
      <w:r>
        <w:rPr>
          <w:rFonts w:ascii="Arial" w:cs="Arial" w:eastAsia="Arial" w:hAnsi="Arial"/>
          <w:sz w:val="18"/>
          <w:szCs w:val="18"/>
          <w:color w:val="auto"/>
        </w:rPr>
        <w:t>. There are no limitations imposed by our post-offering amended and restated memorandum and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80"/>
          </w:cols>
          <w:pgMar w:left="240" w:top="457"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History of Securities Issuances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Ordinary Shares</w:t>
      </w:r>
    </w:p>
    <w:p>
      <w:pPr>
        <w:spacing w:after="0" w:line="115" w:lineRule="exact"/>
        <w:rPr>
          <w:sz w:val="20"/>
          <w:szCs w:val="20"/>
          <w:color w:val="auto"/>
        </w:rPr>
      </w:pPr>
    </w:p>
    <w:p>
      <w:pPr>
        <w:ind w:left="240" w:right="160" w:firstLine="438"/>
        <w:spacing w:after="0" w:line="309" w:lineRule="auto"/>
        <w:rPr>
          <w:sz w:val="20"/>
          <w:szCs w:val="20"/>
          <w:color w:val="auto"/>
        </w:rPr>
      </w:pPr>
      <w:r>
        <w:rPr>
          <w:rFonts w:ascii="Arial" w:cs="Arial" w:eastAsia="Arial" w:hAnsi="Arial"/>
          <w:sz w:val="16"/>
          <w:szCs w:val="16"/>
          <w:color w:val="auto"/>
        </w:rPr>
        <w:t>We were incorporated in the Cayman Islands on April 15, 2014. Upon our incorporation, we issued one ordinary shares to Nominees Services Ltd., which subsequently transferred the share to Mr. Leaf Hua Li, our founder, chairman and chief executive officer, for a consideration of US$0.005. On the same date, we further issued 807,499 ordinary shares to Mr. Li for an aggregate consideration of US$4,037.495.</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Shares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On October 31, 2014, we issued 178,571 Series A preferred shares to Qiantang River Investment Limited for an aggregate consideration of</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US$5.0 million, 71,429 Series A preferred shares to Matrix Partners China III Hong Kong Limited for an aggregate consideration of US$2.0 million and</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46,875 Series A-1 preferred shares to Sequoia Capital CV IV Holdco, Ltd. for an aggregate consideration of US$1.5 million.</w:t>
      </w:r>
    </w:p>
    <w:p>
      <w:pPr>
        <w:spacing w:after="0" w:line="208" w:lineRule="exact"/>
        <w:rPr>
          <w:sz w:val="20"/>
          <w:szCs w:val="20"/>
          <w:color w:val="auto"/>
        </w:rPr>
      </w:pPr>
    </w:p>
    <w:p>
      <w:pPr>
        <w:ind w:left="240" w:right="380" w:firstLine="438"/>
        <w:spacing w:after="0" w:line="257" w:lineRule="auto"/>
        <w:rPr>
          <w:sz w:val="20"/>
          <w:szCs w:val="20"/>
          <w:color w:val="auto"/>
        </w:rPr>
      </w:pPr>
      <w:r>
        <w:rPr>
          <w:rFonts w:ascii="Arial" w:cs="Arial" w:eastAsia="Arial" w:hAnsi="Arial"/>
          <w:sz w:val="18"/>
          <w:szCs w:val="18"/>
          <w:color w:val="auto"/>
        </w:rPr>
        <w:t>On May 27, 2015, we issued 160,715 Series B preferred shares to Qiantang River Investment Limited for an aggregate consideration of approximately US$27.3 million, 9,740 Series B preferred shares to Matrix Partners China III Hong Kong Limited for an aggregate consideration of approximately US$1.7 million and 6,392 Series B preferred shares to Sequoia Capital CV IV Holdco, Ltd. for an aggregate consideration of approximately US$1.1 million.</w:t>
      </w:r>
    </w:p>
    <w:p>
      <w:pPr>
        <w:spacing w:after="0" w:line="188" w:lineRule="exact"/>
        <w:rPr>
          <w:sz w:val="20"/>
          <w:szCs w:val="20"/>
          <w:color w:val="auto"/>
        </w:rPr>
      </w:pPr>
    </w:p>
    <w:p>
      <w:pPr>
        <w:ind w:left="240" w:right="200" w:firstLine="438"/>
        <w:spacing w:after="0" w:line="309" w:lineRule="auto"/>
        <w:rPr>
          <w:sz w:val="20"/>
          <w:szCs w:val="20"/>
          <w:color w:val="auto"/>
        </w:rPr>
      </w:pPr>
      <w:r>
        <w:rPr>
          <w:rFonts w:ascii="Arial" w:cs="Arial" w:eastAsia="Arial" w:hAnsi="Arial"/>
          <w:sz w:val="16"/>
          <w:szCs w:val="16"/>
          <w:color w:val="auto"/>
        </w:rPr>
        <w:t>On May 22, 2017, we issued 128,844,812 Series C preferred shares to Image Frame Investment (HK) Limited for an aggregate consideration of US$91.4 million, 7,381,311 Series C-1 preferred shares to Matrix Partners China III Hong Kong Limited for an aggregate consideration of US$7.6 million and 4,843,971 Series C-1 preferred shares to SCC Venture VI Holdco, Ltd. for an aggregate consideration of US$5.0 million.</w:t>
      </w:r>
    </w:p>
    <w:p>
      <w:pPr>
        <w:spacing w:after="0" w:line="149" w:lineRule="exact"/>
        <w:rPr>
          <w:sz w:val="20"/>
          <w:szCs w:val="20"/>
          <w:color w:val="auto"/>
        </w:rPr>
      </w:pPr>
    </w:p>
    <w:p>
      <w:pPr>
        <w:ind w:left="240" w:right="140" w:firstLine="438"/>
        <w:spacing w:after="0" w:line="262" w:lineRule="auto"/>
        <w:rPr>
          <w:sz w:val="20"/>
          <w:szCs w:val="20"/>
          <w:color w:val="auto"/>
        </w:rPr>
      </w:pPr>
      <w:r>
        <w:rPr>
          <w:rFonts w:ascii="Arial" w:cs="Arial" w:eastAsia="Arial" w:hAnsi="Arial"/>
          <w:sz w:val="18"/>
          <w:szCs w:val="18"/>
          <w:color w:val="auto"/>
        </w:rPr>
        <w:t>On November 24, 2017, Image Frame Investment (HK) Limited transferred 28,205,205 Series C preferred shares to TPP Follow-on I Holding A Limited for an aggregate consideration of US$20.0 million and 29,615,465 Series C preferred shares to TPP Opportunity I Holding A Limited for an aggregate consideration of US$21.0 million.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 Split</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On September 22, 2016, we effected a 1 to 500 share split whereby all of our 807,500 ordinary shares, par value US$0.005 each, that were issued</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and outstanding at the time were converted into 403,750,000 ordinary shares, par value US$0.00001 each; all of our 250,000 Series A preferred shares,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par value US$0.005 each, that were issued and outstanding at the time were converted into 125,000,000 Series A preferred shares, par value</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US$0.00001 each; all of our 46,875 Series A-1 preferred shares, par value US$0.005 each, that were issued and outstanding at the time were converted</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into 23,437,500 Series A-1 preferred shares, par value US$0.00001 each; all of our 176,847 Series B preferred shares, par value US$0.005 each, that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were issued and outstanding at the time were converted into 88,423,500 Series B preferred shares, par value US$0.00001 each. As a result of the share</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split, the number of our total authorized shares was increased from 10,000,000 to 5,000,000,000 on September 22, 2016. The number of our authorized</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ordinary shares was increased from 9,526,278 to 4,763,139,000, the number of our authorized Series A preferred shares was increased from 250,000 to</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125,000,000, the number of our authorized Series A-1 preferred shares was increased from 46,875 to 23,437,500 and the number of our authorized</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Series B preferred shares was increased from 176,847 to 88,423,500. The share split has been retroactively reflected for all periods presented herein.</w:t>
      </w:r>
    </w:p>
    <w:p>
      <w:pPr>
        <w:spacing w:after="0" w:line="3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Option Grants</w:t>
      </w:r>
    </w:p>
    <w:p>
      <w:pPr>
        <w:spacing w:after="0" w:line="115" w:lineRule="exact"/>
        <w:rPr>
          <w:sz w:val="20"/>
          <w:szCs w:val="20"/>
          <w:color w:val="auto"/>
        </w:rPr>
      </w:pPr>
    </w:p>
    <w:p>
      <w:pPr>
        <w:ind w:left="240" w:right="140" w:firstLine="438"/>
        <w:spacing w:after="0" w:line="275" w:lineRule="auto"/>
        <w:rPr>
          <w:sz w:val="20"/>
          <w:szCs w:val="20"/>
          <w:color w:val="auto"/>
        </w:rPr>
      </w:pPr>
      <w:r>
        <w:rPr>
          <w:rFonts w:ascii="Arial" w:cs="Arial" w:eastAsia="Arial" w:hAnsi="Arial"/>
          <w:sz w:val="18"/>
          <w:szCs w:val="18"/>
          <w:color w:val="auto"/>
        </w:rPr>
        <w:t>We have granted options to purchase our ordinary shares to certain of our directors, executive officers and employees. See “Management—2014 Share Incentive Plan.”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60"/>
          </w:cols>
          <w:pgMar w:left="240" w:top="458"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Shareholders Agreement</w:t>
      </w:r>
    </w:p>
    <w:p>
      <w:pPr>
        <w:spacing w:after="0" w:line="115" w:lineRule="exact"/>
        <w:rPr>
          <w:sz w:val="20"/>
          <w:szCs w:val="20"/>
          <w:color w:val="auto"/>
        </w:rPr>
      </w:pPr>
    </w:p>
    <w:p>
      <w:pPr>
        <w:ind w:left="240" w:right="200" w:firstLine="438"/>
        <w:spacing w:after="0" w:line="275" w:lineRule="auto"/>
        <w:rPr>
          <w:sz w:val="20"/>
          <w:szCs w:val="20"/>
          <w:color w:val="auto"/>
        </w:rPr>
      </w:pPr>
      <w:r>
        <w:rPr>
          <w:rFonts w:ascii="Arial" w:cs="Arial" w:eastAsia="Arial" w:hAnsi="Arial"/>
          <w:sz w:val="18"/>
          <w:szCs w:val="18"/>
          <w:color w:val="auto"/>
        </w:rPr>
        <w:t>We entered into a second amended and restated shareholders agreement on May 22, 2017 with our shareholders, which consist of holders of our ordinary shares and preferred shares.</w:t>
      </w:r>
    </w:p>
    <w:p>
      <w:pPr>
        <w:spacing w:after="0" w:line="170"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color w:val="auto"/>
        </w:rPr>
        <w:t>The shareholders agreement provides for certain shareholders rights, including right of first refusal, co-sale rights, preemptive rights and contains provisions governing the board of directors and other corporate governance matters. Those special rights, as well as the corporate governance provisions, will automatically terminate upon the completion of a qualified initial public offering.</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Registration Rights</w:t>
      </w:r>
    </w:p>
    <w:p>
      <w:pPr>
        <w:spacing w:after="0" w:line="115" w:lineRule="exact"/>
        <w:rPr>
          <w:sz w:val="20"/>
          <w:szCs w:val="20"/>
          <w:color w:val="auto"/>
        </w:rPr>
      </w:pPr>
    </w:p>
    <w:p>
      <w:pPr>
        <w:ind w:left="240" w:firstLine="438"/>
        <w:spacing w:after="0" w:line="289" w:lineRule="auto"/>
        <w:rPr>
          <w:sz w:val="20"/>
          <w:szCs w:val="20"/>
          <w:color w:val="auto"/>
        </w:rPr>
      </w:pPr>
      <w:r>
        <w:rPr>
          <w:rFonts w:ascii="Arial" w:cs="Arial" w:eastAsia="Arial" w:hAnsi="Arial"/>
          <w:sz w:val="16"/>
          <w:szCs w:val="16"/>
          <w:color w:val="auto"/>
        </w:rPr>
        <w:t>Our registrable securities will include (i) the ordinary shares issued or issuable upon conversion of the preferred shares, (ii) any ordinary shares we issued or issuable as a dividend or other distribution with respect to, in exchange for, or in replacement of, the shares referenced in (i) herein, and</w:t>
      </w:r>
    </w:p>
    <w:p>
      <w:pPr>
        <w:spacing w:after="0" w:line="1" w:lineRule="exact"/>
        <w:rPr>
          <w:sz w:val="20"/>
          <w:szCs w:val="20"/>
          <w:color w:val="auto"/>
        </w:rPr>
      </w:pPr>
    </w:p>
    <w:p>
      <w:pPr>
        <w:ind w:left="240" w:right="100" w:hanging="4"/>
        <w:spacing w:after="0" w:line="258" w:lineRule="auto"/>
        <w:tabs>
          <w:tab w:leader="none" w:pos="5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ordinary shares owned or hereafter acquired by the holders of Series A preferred shares, Series A-1 preferred shares, Series B preferred shares, Series C preferred shares and Series C-1 preferred shares.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Demand Registration Rights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 xml:space="preserve">Registration other than on Form F-3 or Form S-3. </w:t>
      </w:r>
      <w:r>
        <w:rPr>
          <w:rFonts w:ascii="Arial" w:cs="Arial" w:eastAsia="Arial" w:hAnsi="Arial"/>
          <w:sz w:val="16"/>
          <w:szCs w:val="16"/>
          <w:color w:val="auto"/>
        </w:rPr>
        <w:t>At any time or from time to time after the earlier of (i) May 27,2023 or (ii) the date that is six</w:t>
      </w:r>
    </w:p>
    <w:p>
      <w:pPr>
        <w:spacing w:after="0" w:line="45" w:lineRule="exact"/>
        <w:rPr>
          <w:sz w:val="20"/>
          <w:szCs w:val="20"/>
          <w:color w:val="auto"/>
        </w:rPr>
      </w:pPr>
    </w:p>
    <w:p>
      <w:pPr>
        <w:ind w:left="240" w:right="260" w:hanging="4"/>
        <w:spacing w:after="0" w:line="280" w:lineRule="auto"/>
        <w:tabs>
          <w:tab w:leader="none" w:pos="493" w:val="left"/>
        </w:tabs>
        <w:numPr>
          <w:ilvl w:val="0"/>
          <w:numId w:val="99"/>
        </w:numPr>
        <w:rPr>
          <w:rFonts w:ascii="Arial" w:cs="Arial" w:eastAsia="Arial" w:hAnsi="Arial"/>
          <w:sz w:val="16"/>
          <w:szCs w:val="16"/>
          <w:color w:val="auto"/>
        </w:rPr>
      </w:pPr>
      <w:r>
        <w:rPr>
          <w:rFonts w:ascii="Arial" w:cs="Arial" w:eastAsia="Arial" w:hAnsi="Arial"/>
          <w:sz w:val="16"/>
          <w:szCs w:val="16"/>
          <w:color w:val="auto"/>
        </w:rPr>
        <w:t>months after the closing of the IPO, holder(s) holding ten percent (10%) or more of the voting power of the then outstanding registrable securities held by all holders may request in writing that we effect a registration of the registrable securities. Upon receipt of such a request, we shall promptly give written notice of the proposed registration to all other holders and as soon as practicable, use its best efforts to cause the registrable securities specified in the request, together with any registrable securities of any holder who requests in writing to join such registration within fifteen</w:t>
      </w:r>
    </w:p>
    <w:p>
      <w:pPr>
        <w:ind w:left="240" w:right="180" w:hanging="4"/>
        <w:spacing w:after="0" w:line="252" w:lineRule="auto"/>
        <w:tabs>
          <w:tab w:leader="none" w:pos="58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business days after our delivery of written notice, to be registered and/or qualified for sale and distribution in such jurisdiction as the initiating holders may request. We shall be obligated to effect no more than three (3) registrations that have been declared and ordered effective; provided that if the sale of all of the registrable securities sought to be included is not consummated, such registration shall not be deemed to constitute one of the registration rights.</w:t>
      </w:r>
    </w:p>
    <w:p>
      <w:pPr>
        <w:spacing w:after="0" w:line="190" w:lineRule="exact"/>
        <w:rPr>
          <w:sz w:val="20"/>
          <w:szCs w:val="20"/>
          <w:color w:val="auto"/>
        </w:rPr>
      </w:pPr>
    </w:p>
    <w:p>
      <w:pPr>
        <w:ind w:left="240" w:right="120" w:firstLine="438"/>
        <w:spacing w:after="0" w:line="252" w:lineRule="auto"/>
        <w:rPr>
          <w:sz w:val="20"/>
          <w:szCs w:val="20"/>
          <w:color w:val="auto"/>
        </w:rPr>
      </w:pPr>
      <w:r>
        <w:rPr>
          <w:rFonts w:ascii="Arial" w:cs="Arial" w:eastAsia="Arial" w:hAnsi="Arial"/>
          <w:sz w:val="18"/>
          <w:szCs w:val="18"/>
          <w:i w:val="1"/>
          <w:iCs w:val="1"/>
          <w:color w:val="auto"/>
        </w:rPr>
        <w:t xml:space="preserve">Registration on Form F-3 or Form S-3. </w:t>
      </w:r>
      <w:r>
        <w:rPr>
          <w:rFonts w:ascii="Arial" w:cs="Arial" w:eastAsia="Arial" w:hAnsi="Arial"/>
          <w:sz w:val="18"/>
          <w:szCs w:val="18"/>
          <w:color w:val="auto"/>
        </w:rPr>
        <w:t>If we qualify for registration on Form F-3 or Form S-3 (or any comparable form for registration in a</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other than the United States), holder(s) holding ten percent (10%) or more of the voting power of the then outstanding registrable securities held by all holders has the right to request us to file, in any jurisdiction in which we have had a registered underwritten public offering, a registration statement on Form F-3 or Form S-3 (or any comparable form for registration in a jurisdiction other than the United States). Upon receipt of such a request, we shall (i) promptly give written notice of the proposed registration to all other holders and (ii) as soon as practicable, use its best efforts to cause the registrable securities specified in the request, together with any registrable securities of any holder who requests in writing to join such registration within fifteen (15) business days after our delivery of written notice, to be registered and qualified for sale and distribution in such jurisdiction.</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Piggyback Re</w:t>
      </w:r>
      <w:r>
        <w:rPr>
          <w:rFonts w:ascii="Arial" w:cs="Arial" w:eastAsia="Arial" w:hAnsi="Arial"/>
          <w:sz w:val="18"/>
          <w:szCs w:val="18"/>
          <w:b w:val="1"/>
          <w:bCs w:val="1"/>
          <w:i w:val="1"/>
          <w:iCs w:val="1"/>
          <w:color w:val="auto"/>
        </w:rPr>
        <w:t>g</w:t>
      </w:r>
      <w:r>
        <w:rPr>
          <w:rFonts w:ascii="Arial" w:cs="Arial" w:eastAsia="Arial" w:hAnsi="Arial"/>
          <w:sz w:val="18"/>
          <w:szCs w:val="18"/>
          <w:i w:val="1"/>
          <w:iCs w:val="1"/>
          <w:color w:val="auto"/>
        </w:rPr>
        <w:t>istration Rights</w:t>
      </w:r>
    </w:p>
    <w:p>
      <w:pPr>
        <w:spacing w:after="0" w:line="115" w:lineRule="exact"/>
        <w:rPr>
          <w:sz w:val="20"/>
          <w:szCs w:val="20"/>
          <w:color w:val="auto"/>
        </w:rPr>
      </w:pPr>
    </w:p>
    <w:p>
      <w:pPr>
        <w:ind w:left="240" w:right="40" w:firstLine="438"/>
        <w:spacing w:after="0" w:line="272" w:lineRule="auto"/>
        <w:rPr>
          <w:sz w:val="20"/>
          <w:szCs w:val="20"/>
          <w:color w:val="auto"/>
        </w:rPr>
      </w:pPr>
      <w:r>
        <w:rPr>
          <w:rFonts w:ascii="Arial" w:cs="Arial" w:eastAsia="Arial" w:hAnsi="Arial"/>
          <w:sz w:val="17"/>
          <w:szCs w:val="17"/>
          <w:color w:val="auto"/>
        </w:rPr>
        <w:t>If we propose to register any of our securities for a public offering of such securities, or for the account of any holder (other than a holder) of equity securities any of such holder’s equity securities (except for exempt registration), we shall promptly give each holder written notice of such registration and, upon the written request of any holder given within fifteen (15) business days after delivery of such notice, we shall use our best efforts to include in such registration any registrable securities thereby requested to be registered by such holder. If a holder decides not to include all or any of its registrable securities in such registration, such holder will continue to have the right to include any registrable securities in any subsequent registration statement as may be filed by us, subject to certain limitations.</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80"/>
          </w:cols>
          <w:pgMar w:left="240" w:top="458"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Expenses of Registration</w:t>
      </w:r>
    </w:p>
    <w:p>
      <w:pPr>
        <w:spacing w:after="0" w:line="115" w:lineRule="exact"/>
        <w:rPr>
          <w:sz w:val="20"/>
          <w:szCs w:val="20"/>
          <w:color w:val="auto"/>
        </w:rPr>
      </w:pPr>
    </w:p>
    <w:p>
      <w:pPr>
        <w:ind w:left="240" w:right="40" w:firstLine="438"/>
        <w:spacing w:after="0" w:line="268" w:lineRule="auto"/>
        <w:rPr>
          <w:sz w:val="20"/>
          <w:szCs w:val="20"/>
          <w:color w:val="auto"/>
        </w:rPr>
      </w:pPr>
      <w:r>
        <w:rPr>
          <w:rFonts w:ascii="Arial" w:cs="Arial" w:eastAsia="Arial" w:hAnsi="Arial"/>
          <w:sz w:val="17"/>
          <w:szCs w:val="17"/>
          <w:color w:val="auto"/>
        </w:rPr>
        <w:t>We will pay all expenses, other than the underwriting discounts and selling commissions applicable to the sale of registrable securities pursuant to the registration rights (which will be borne by the holders requesting registration on a pro rata basis in proportion to their respective numbers of registrable securities sold in such registration), incurred in connection with registrations, filings or qualifications pursuant to the registration rights, including (without limitation) all registration, filing and qualification fees, printers’ and accounting fees, fees charged by depository banks, transfer agents, and share registrars, fees and disbursements of counsel for us and reasonable fees and disbursement of one counsel for all selling holders. However, we are not obligated to pay any expenses of any registration proceeding if the registration request is subsequently withdrawn at the request of the holders holding at least a majority of the voting power of the registrable securities requested to be registered by all the holder in such registration (in which case all participating holders will bear such expenses pro rata based upon the number of registrable securities that were to be thereby registered in the withdrawn registration).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Termination of Obligations</w:t>
      </w:r>
    </w:p>
    <w:p>
      <w:pPr>
        <w:spacing w:after="0" w:line="115" w:lineRule="exact"/>
        <w:rPr>
          <w:sz w:val="20"/>
          <w:szCs w:val="20"/>
          <w:color w:val="auto"/>
        </w:rPr>
      </w:pPr>
    </w:p>
    <w:p>
      <w:pPr>
        <w:jc w:val="both"/>
        <w:ind w:left="240" w:firstLine="438"/>
        <w:spacing w:after="0" w:line="262" w:lineRule="auto"/>
        <w:rPr>
          <w:sz w:val="20"/>
          <w:szCs w:val="20"/>
          <w:color w:val="auto"/>
        </w:rPr>
      </w:pPr>
      <w:r>
        <w:rPr>
          <w:rFonts w:ascii="Arial" w:cs="Arial" w:eastAsia="Arial" w:hAnsi="Arial"/>
          <w:sz w:val="18"/>
          <w:szCs w:val="18"/>
          <w:color w:val="auto"/>
        </w:rPr>
        <w:t>The registration rights set forth above will terminate on the earlier of (i) the date that is five (5) years from the date of closing of a qualified initial public offering and (ii) with respect to any holder, the date on which such holder may sell all of such holder’s registrable securities under Rule 144 of the Securities Act in any ninety (90)-day period.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80"/>
          </w:cols>
          <w:pgMar w:left="240" w:top="458" w:right="47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1"/>
        </w:trPr>
        <w:tc>
          <w:tcPr>
            <w:tcW w:w="9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120" w:type="dxa"/>
            <w:vAlign w:val="bottom"/>
          </w:tcPr>
          <w:p>
            <w:pPr>
              <w:ind w:left="2100"/>
              <w:spacing w:after="0"/>
              <w:rPr>
                <w:sz w:val="20"/>
                <w:szCs w:val="20"/>
                <w:color w:val="auto"/>
              </w:rPr>
            </w:pPr>
            <w:r>
              <w:rPr>
                <w:rFonts w:ascii="Arial" w:cs="Arial" w:eastAsia="Arial" w:hAnsi="Arial"/>
                <w:sz w:val="18"/>
                <w:szCs w:val="18"/>
                <w:b w:val="1"/>
                <w:bCs w:val="1"/>
                <w:color w:val="auto"/>
              </w:rPr>
              <w:t>DESCRIPTION OF AMERICAN DEPOSITARY SHARES</w:t>
            </w:r>
          </w:p>
        </w:tc>
        <w:tc>
          <w:tcPr>
            <w:tcW w:w="2420" w:type="dxa"/>
            <w:vAlign w:val="bottom"/>
          </w:tcPr>
          <w:p>
            <w:pPr>
              <w:spacing w:after="0"/>
              <w:rPr>
                <w:sz w:val="24"/>
                <w:szCs w:val="24"/>
                <w:color w:val="auto"/>
              </w:rPr>
            </w:pPr>
          </w:p>
        </w:tc>
      </w:tr>
      <w:tr>
        <w:trPr>
          <w:trHeight w:val="430"/>
        </w:trPr>
        <w:tc>
          <w:tcPr>
            <w:tcW w:w="8460" w:type="dxa"/>
            <w:vAlign w:val="bottom"/>
            <w:gridSpan w:val="3"/>
          </w:tcPr>
          <w:p>
            <w:pPr>
              <w:ind w:left="240"/>
              <w:spacing w:after="0"/>
              <w:rPr>
                <w:sz w:val="20"/>
                <w:szCs w:val="20"/>
                <w:color w:val="auto"/>
              </w:rPr>
            </w:pPr>
            <w:r>
              <w:rPr>
                <w:rFonts w:ascii="Arial" w:cs="Arial" w:eastAsia="Arial" w:hAnsi="Arial"/>
                <w:sz w:val="18"/>
                <w:szCs w:val="18"/>
                <w:b w:val="1"/>
                <w:bCs w:val="1"/>
                <w:color w:val="auto"/>
              </w:rPr>
              <w:t>[American Depositary Shares</w:t>
            </w:r>
          </w:p>
        </w:tc>
        <w:tc>
          <w:tcPr>
            <w:tcW w:w="2420" w:type="dxa"/>
            <w:vAlign w:val="bottom"/>
          </w:tcPr>
          <w:p>
            <w:pPr>
              <w:spacing w:after="0"/>
              <w:rPr>
                <w:sz w:val="24"/>
                <w:szCs w:val="24"/>
                <w:color w:val="auto"/>
              </w:rPr>
            </w:pPr>
          </w:p>
        </w:tc>
      </w:tr>
      <w:tr>
        <w:trPr>
          <w:trHeight w:val="308"/>
        </w:trPr>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 as depositary, will register and deliver the ADSs. Each ADS will represent ownership of</w:t>
            </w:r>
          </w:p>
        </w:tc>
        <w:tc>
          <w:tcPr>
            <w:tcW w:w="2420" w:type="dxa"/>
            <w:vAlign w:val="bottom"/>
          </w:tcPr>
          <w:p>
            <w:pPr>
              <w:jc w:val="right"/>
              <w:ind w:right="411"/>
              <w:spacing w:after="0"/>
              <w:rPr>
                <w:sz w:val="20"/>
                <w:szCs w:val="20"/>
                <w:color w:val="auto"/>
              </w:rPr>
            </w:pPr>
            <w:r>
              <w:rPr>
                <w:rFonts w:ascii="Arial" w:cs="Arial" w:eastAsia="Arial" w:hAnsi="Arial"/>
                <w:sz w:val="18"/>
                <w:szCs w:val="18"/>
                <w:color w:val="auto"/>
                <w:w w:val="89"/>
              </w:rPr>
              <w:t>ordinary shares, deposited</w:t>
            </w:r>
          </w:p>
        </w:tc>
      </w:tr>
      <w:tr>
        <w:trPr>
          <w:trHeight w:val="215"/>
        </w:trPr>
        <w:tc>
          <w:tcPr>
            <w:tcW w:w="920" w:type="dxa"/>
            <w:vAlign w:val="bottom"/>
          </w:tcPr>
          <w:p>
            <w:pPr>
              <w:ind w:left="240"/>
              <w:spacing w:after="0"/>
              <w:rPr>
                <w:sz w:val="20"/>
                <w:szCs w:val="20"/>
                <w:color w:val="auto"/>
              </w:rPr>
            </w:pPr>
            <w:r>
              <w:rPr>
                <w:rFonts w:ascii="Arial" w:cs="Arial" w:eastAsia="Arial" w:hAnsi="Arial"/>
                <w:sz w:val="18"/>
                <w:szCs w:val="18"/>
                <w:color w:val="auto"/>
              </w:rPr>
              <w:t>with</w:t>
            </w:r>
          </w:p>
        </w:tc>
        <w:tc>
          <w:tcPr>
            <w:tcW w:w="9960" w:type="dxa"/>
            <w:vAlign w:val="bottom"/>
            <w:gridSpan w:val="3"/>
          </w:tcPr>
          <w:p>
            <w:pPr>
              <w:jc w:val="right"/>
              <w:spacing w:after="0"/>
              <w:rPr>
                <w:sz w:val="20"/>
                <w:szCs w:val="20"/>
                <w:color w:val="auto"/>
              </w:rPr>
            </w:pPr>
            <w:r>
              <w:rPr>
                <w:rFonts w:ascii="Arial" w:cs="Arial" w:eastAsia="Arial" w:hAnsi="Arial"/>
                <w:sz w:val="18"/>
                <w:szCs w:val="18"/>
                <w:color w:val="auto"/>
                <w:w w:val="93"/>
              </w:rPr>
              <w:t>, as custodian for the depositary. Each ADS will also represent ownership of any other securities, cash or other property which may be</w:t>
            </w:r>
          </w:p>
        </w:tc>
      </w:tr>
      <w:tr>
        <w:trPr>
          <w:trHeight w:val="229"/>
        </w:trPr>
        <w:tc>
          <w:tcPr>
            <w:tcW w:w="8460" w:type="dxa"/>
            <w:vAlign w:val="bottom"/>
            <w:gridSpan w:val="3"/>
          </w:tcPr>
          <w:p>
            <w:pPr>
              <w:ind w:left="240"/>
              <w:spacing w:after="0"/>
              <w:rPr>
                <w:sz w:val="20"/>
                <w:szCs w:val="20"/>
                <w:color w:val="auto"/>
              </w:rPr>
            </w:pPr>
            <w:r>
              <w:rPr>
                <w:rFonts w:ascii="Arial" w:cs="Arial" w:eastAsia="Arial" w:hAnsi="Arial"/>
                <w:sz w:val="18"/>
                <w:szCs w:val="18"/>
                <w:color w:val="auto"/>
                <w:w w:val="90"/>
              </w:rPr>
              <w:t>held by the depositary. The depositary’s corporate trust office at which the ADSs will be administered is located at</w:t>
            </w:r>
          </w:p>
        </w:tc>
        <w:tc>
          <w:tcPr>
            <w:tcW w:w="2420" w:type="dxa"/>
            <w:vAlign w:val="bottom"/>
          </w:tcPr>
          <w:p>
            <w:pPr>
              <w:jc w:val="right"/>
              <w:ind w:right="161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p>
      <w:pPr>
        <w:ind w:left="240" w:right="200" w:firstLine="438"/>
        <w:spacing w:after="0" w:line="262" w:lineRule="auto"/>
        <w:rPr>
          <w:sz w:val="20"/>
          <w:szCs w:val="20"/>
          <w:color w:val="auto"/>
        </w:rPr>
      </w:pPr>
      <w:r>
        <w:rPr>
          <w:rFonts w:ascii="Arial" w:cs="Arial" w:eastAsia="Arial" w:hAnsi="Arial"/>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81" w:lineRule="exact"/>
        <w:rPr>
          <w:sz w:val="20"/>
          <w:szCs w:val="20"/>
          <w:color w:val="auto"/>
        </w:rPr>
      </w:pPr>
    </w:p>
    <w:p>
      <w:pPr>
        <w:ind w:left="240" w:right="140" w:firstLine="438"/>
        <w:spacing w:after="0" w:line="300" w:lineRule="auto"/>
        <w:rPr>
          <w:sz w:val="20"/>
          <w:szCs w:val="20"/>
          <w:color w:val="auto"/>
        </w:rPr>
      </w:pPr>
      <w:r>
        <w:rPr>
          <w:rFonts w:ascii="Arial" w:cs="Arial" w:eastAsia="Arial" w:hAnsi="Arial"/>
          <w:sz w:val="16"/>
          <w:szCs w:val="16"/>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w:t>
      </w:r>
    </w:p>
    <w:p>
      <w:pPr>
        <w:spacing w:after="0" w:line="154"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Holding the ADSs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How will you hold your ADSs?</w:t>
      </w:r>
    </w:p>
    <w:p>
      <w:pPr>
        <w:spacing w:after="0" w:line="115" w:lineRule="exact"/>
        <w:rPr>
          <w:sz w:val="20"/>
          <w:szCs w:val="20"/>
          <w:color w:val="auto"/>
        </w:rPr>
      </w:pPr>
    </w:p>
    <w:p>
      <w:pPr>
        <w:ind w:left="240" w:right="120" w:firstLine="438"/>
        <w:spacing w:after="0" w:line="254" w:lineRule="auto"/>
        <w:rPr>
          <w:sz w:val="20"/>
          <w:szCs w:val="20"/>
          <w:color w:val="auto"/>
        </w:rPr>
      </w:pPr>
      <w:r>
        <w:rPr>
          <w:rFonts w:ascii="Arial" w:cs="Arial" w:eastAsia="Arial" w:hAnsi="Arial"/>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Dividends and Other Distributions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How will you receive dividends and other distributions on the shares?</w:t>
      </w:r>
    </w:p>
    <w:p>
      <w:pPr>
        <w:spacing w:after="0" w:line="115" w:lineRule="exact"/>
        <w:rPr>
          <w:sz w:val="20"/>
          <w:szCs w:val="20"/>
          <w:color w:val="auto"/>
        </w:rPr>
      </w:pPr>
    </w:p>
    <w:p>
      <w:pPr>
        <w:jc w:val="both"/>
        <w:ind w:left="240" w:right="60" w:firstLine="438"/>
        <w:spacing w:after="0" w:line="309"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55" w:lineRule="exact"/>
        <w:rPr>
          <w:sz w:val="20"/>
          <w:szCs w:val="20"/>
          <w:color w:val="auto"/>
        </w:rPr>
      </w:pPr>
    </w:p>
    <w:p>
      <w:pPr>
        <w:ind w:left="660" w:hanging="317"/>
        <w:spacing w:after="0" w:line="292"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Cash</w:t>
      </w:r>
      <w:r>
        <w:rPr>
          <w:rFonts w:ascii="Arial" w:cs="Arial" w:eastAsia="Arial" w:hAnsi="Arial"/>
          <w:sz w:val="16"/>
          <w:szCs w:val="16"/>
          <w:color w:val="auto"/>
        </w:rPr>
        <w:t>. The depositary will convert or cause to be converted any cash dividend or other cash distribution we pay on the ordinary shares or any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proceeds from the sale of any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240" w:top="443"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 xml:space="preserve">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 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w:t>
      </w:r>
      <w:r>
        <w:rPr>
          <w:rFonts w:ascii="Arial" w:cs="Arial" w:eastAsia="Arial" w:hAnsi="Arial"/>
          <w:sz w:val="18"/>
          <w:szCs w:val="18"/>
          <w:i w:val="1"/>
          <w:iCs w:val="1"/>
          <w:color w:val="auto"/>
        </w:rPr>
        <w:t>If the exchange rates fluctuate during a time when the depositary cannot convert the foreign currency, you may</w:t>
      </w:r>
      <w:r>
        <w:rPr>
          <w:rFonts w:ascii="Arial" w:cs="Arial" w:eastAsia="Arial" w:hAnsi="Arial"/>
          <w:sz w:val="18"/>
          <w:szCs w:val="18"/>
          <w:color w:val="auto"/>
        </w:rPr>
        <w:t xml:space="preserve"> </w:t>
      </w:r>
      <w:r>
        <w:rPr>
          <w:rFonts w:ascii="Arial" w:cs="Arial" w:eastAsia="Arial" w:hAnsi="Arial"/>
          <w:sz w:val="18"/>
          <w:szCs w:val="18"/>
          <w:i w:val="1"/>
          <w:iCs w:val="1"/>
          <w:color w:val="auto"/>
        </w:rPr>
        <w:t>lose some or all of the value of the distribution.</w:t>
      </w:r>
    </w:p>
    <w:p>
      <w:pPr>
        <w:spacing w:after="0" w:line="96" w:lineRule="exact"/>
        <w:rPr>
          <w:sz w:val="20"/>
          <w:szCs w:val="20"/>
          <w:color w:val="auto"/>
        </w:rPr>
      </w:pPr>
    </w:p>
    <w:p>
      <w:pPr>
        <w:ind w:left="660" w:hanging="317"/>
        <w:spacing w:after="0" w:line="253"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any ordinary shares we distribute as a dividend or free distribution, either (1) the depositary will distribute additional ADSs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97" w:lineRule="exact"/>
        <w:rPr>
          <w:rFonts w:ascii="Arial" w:cs="Arial" w:eastAsia="Arial" w:hAnsi="Arial"/>
          <w:sz w:val="18"/>
          <w:szCs w:val="18"/>
          <w:color w:val="auto"/>
        </w:rPr>
      </w:pPr>
    </w:p>
    <w:p>
      <w:pPr>
        <w:ind w:left="660" w:hanging="317"/>
        <w:spacing w:after="0" w:line="268" w:lineRule="auto"/>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Elective Distributions in Cash or Shares</w:t>
      </w:r>
      <w:r>
        <w:rPr>
          <w:rFonts w:ascii="Arial" w:cs="Arial" w:eastAsia="Arial" w:hAnsi="Arial"/>
          <w:sz w:val="17"/>
          <w:szCs w:val="17"/>
          <w:color w:val="auto"/>
        </w:rPr>
        <w:t>. If we offer holders of our ordinary shares the option to receive dividends in either cash or shares,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86" w:lineRule="exact"/>
        <w:rPr>
          <w:rFonts w:ascii="Arial" w:cs="Arial" w:eastAsia="Arial" w:hAnsi="Arial"/>
          <w:sz w:val="17"/>
          <w:szCs w:val="17"/>
          <w:color w:val="auto"/>
        </w:rPr>
      </w:pPr>
    </w:p>
    <w:p>
      <w:pPr>
        <w:ind w:left="660" w:right="40" w:hanging="317"/>
        <w:spacing w:after="0" w:line="270" w:lineRule="auto"/>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Rights to Purchase Additional Shares</w:t>
      </w:r>
      <w:r>
        <w:rPr>
          <w:rFonts w:ascii="Arial" w:cs="Arial" w:eastAsia="Arial" w:hAnsi="Arial"/>
          <w:sz w:val="17"/>
          <w:szCs w:val="17"/>
          <w:color w:val="auto"/>
        </w:rPr>
        <w:t>. If we offer holders of our ordinary shares any rights to subscribe for additional shares, the depositary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w:t>
      </w:r>
    </w:p>
    <w:p>
      <w:pPr>
        <w:spacing w:after="0" w:line="71"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8"/>
          <w:szCs w:val="18"/>
          <w:color w:val="auto"/>
        </w:rPr>
        <w:t>The depositary will allow rights that are not distributed or sold to lapse. In that case, you will receive no value for them.</w:t>
      </w:r>
    </w:p>
    <w:p>
      <w:pPr>
        <w:spacing w:after="0" w:line="115" w:lineRule="exact"/>
        <w:rPr>
          <w:rFonts w:ascii="Arial" w:cs="Arial" w:eastAsia="Arial" w:hAnsi="Arial"/>
          <w:sz w:val="17"/>
          <w:szCs w:val="17"/>
          <w:color w:val="auto"/>
        </w:rPr>
      </w:pPr>
    </w:p>
    <w:p>
      <w:pPr>
        <w:ind w:left="680"/>
        <w:spacing w:after="0" w:line="309" w:lineRule="auto"/>
        <w:rPr>
          <w:rFonts w:ascii="Arial" w:cs="Arial" w:eastAsia="Arial" w:hAnsi="Arial"/>
          <w:sz w:val="17"/>
          <w:szCs w:val="17"/>
          <w:color w:val="auto"/>
        </w:rPr>
      </w:pPr>
      <w:r>
        <w:rPr>
          <w:rFonts w:ascii="Arial" w:cs="Arial" w:eastAsia="Arial" w:hAnsi="Arial"/>
          <w:sz w:val="16"/>
          <w:szCs w:val="16"/>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41" w:lineRule="exact"/>
        <w:rPr>
          <w:rFonts w:ascii="Arial" w:cs="Arial" w:eastAsia="Arial" w:hAnsi="Arial"/>
          <w:sz w:val="17"/>
          <w:szCs w:val="17"/>
          <w:color w:val="auto"/>
        </w:rPr>
      </w:pPr>
    </w:p>
    <w:p>
      <w:pPr>
        <w:ind w:left="680"/>
        <w:spacing w:after="0" w:line="309" w:lineRule="auto"/>
        <w:rPr>
          <w:rFonts w:ascii="Arial" w:cs="Arial" w:eastAsia="Arial" w:hAnsi="Arial"/>
          <w:sz w:val="17"/>
          <w:szCs w:val="17"/>
          <w:color w:val="auto"/>
        </w:rPr>
      </w:pPr>
      <w:r>
        <w:rPr>
          <w:rFonts w:ascii="Arial" w:cs="Arial" w:eastAsia="Arial" w:hAnsi="Arial"/>
          <w:sz w:val="16"/>
          <w:szCs w:val="16"/>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8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60"/>
          </w:cols>
          <w:pgMar w:left="240" w:top="458"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right="280"/>
        <w:spacing w:after="0" w:line="275" w:lineRule="auto"/>
        <w:rPr>
          <w:sz w:val="20"/>
          <w:szCs w:val="20"/>
          <w:color w:val="auto"/>
        </w:rPr>
      </w:pPr>
      <w:r>
        <w:rPr>
          <w:rFonts w:ascii="Arial" w:cs="Arial" w:eastAsia="Arial" w:hAnsi="Arial"/>
          <w:sz w:val="18"/>
          <w:szCs w:val="18"/>
          <w:color w:val="auto"/>
        </w:rPr>
        <w:t>There can be no assurance that you will be given the opportunity to exercise rights on the same terms and conditions as the holders of ordinary shares or be able to exercise such rights.</w:t>
      </w:r>
    </w:p>
    <w:p>
      <w:pPr>
        <w:spacing w:after="0" w:line="76" w:lineRule="exact"/>
        <w:rPr>
          <w:sz w:val="20"/>
          <w:szCs w:val="20"/>
          <w:color w:val="auto"/>
        </w:rPr>
      </w:pPr>
    </w:p>
    <w:p>
      <w:pPr>
        <w:ind w:left="660" w:hanging="317"/>
        <w:spacing w:after="0" w:line="269"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color w:val="auto"/>
        </w:rPr>
        <w:t>. Subject to receipt of timely notice, as described in the deposit agreement, from us with the request to make any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81" w:lineRule="exact"/>
        <w:rPr>
          <w:sz w:val="20"/>
          <w:szCs w:val="20"/>
          <w:color w:val="auto"/>
        </w:rPr>
      </w:pPr>
    </w:p>
    <w:p>
      <w:pPr>
        <w:ind w:left="240" w:right="120" w:firstLine="438"/>
        <w:spacing w:after="0" w:line="300" w:lineRule="auto"/>
        <w:rPr>
          <w:sz w:val="20"/>
          <w:szCs w:val="20"/>
          <w:color w:val="auto"/>
        </w:rPr>
      </w:pPr>
      <w:r>
        <w:rPr>
          <w:rFonts w:ascii="Arial" w:cs="Arial" w:eastAsia="Arial" w:hAnsi="Arial"/>
          <w:sz w:val="16"/>
          <w:szCs w:val="16"/>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How are ADSs issued?</w:t>
      </w:r>
    </w:p>
    <w:p>
      <w:pPr>
        <w:spacing w:after="0" w:line="115" w:lineRule="exact"/>
        <w:rPr>
          <w:sz w:val="20"/>
          <w:szCs w:val="20"/>
          <w:color w:val="auto"/>
        </w:rPr>
      </w:pPr>
    </w:p>
    <w:p>
      <w:pPr>
        <w:ind w:left="240" w:right="20" w:firstLine="438"/>
        <w:spacing w:after="0" w:line="309" w:lineRule="auto"/>
        <w:rPr>
          <w:sz w:val="20"/>
          <w:szCs w:val="20"/>
          <w:color w:val="auto"/>
        </w:rPr>
      </w:pPr>
      <w:r>
        <w:rPr>
          <w:rFonts w:ascii="Arial" w:cs="Arial" w:eastAsia="Arial" w:hAnsi="Arial"/>
          <w:sz w:val="16"/>
          <w:szCs w:val="16"/>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49" w:lineRule="exact"/>
        <w:rPr>
          <w:sz w:val="20"/>
          <w:szCs w:val="20"/>
          <w:color w:val="auto"/>
        </w:rPr>
      </w:pPr>
    </w:p>
    <w:p>
      <w:pPr>
        <w:jc w:val="both"/>
        <w:ind w:left="240" w:right="340" w:firstLine="438"/>
        <w:spacing w:after="0" w:line="262" w:lineRule="auto"/>
        <w:rPr>
          <w:sz w:val="20"/>
          <w:szCs w:val="20"/>
          <w:color w:val="auto"/>
        </w:rPr>
      </w:pPr>
      <w:r>
        <w:rPr>
          <w:rFonts w:ascii="Arial" w:cs="Arial" w:eastAsia="Arial" w:hAnsi="Arial"/>
          <w:sz w:val="18"/>
          <w:szCs w:val="18"/>
          <w:color w:val="auto"/>
        </w:rPr>
        <w:t>Except for ordinary shares deposited by us in connection with this offering, no shares will be accepted for deposit during a period of 180 days after the date of this prospectus. The 180 day lock up period is subject to adjustment under certain circumstances as described in the section entitled “Shares Eligible for Future Sales—Lock-up Agreements.”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How do ADS holders cancel an American Depositary Share?</w:t>
      </w:r>
    </w:p>
    <w:p>
      <w:pPr>
        <w:spacing w:after="0" w:line="115" w:lineRule="exact"/>
        <w:rPr>
          <w:sz w:val="20"/>
          <w:szCs w:val="20"/>
          <w:color w:val="auto"/>
        </w:rPr>
      </w:pPr>
    </w:p>
    <w:p>
      <w:pPr>
        <w:jc w:val="both"/>
        <w:ind w:left="240" w:right="20" w:firstLine="438"/>
        <w:spacing w:after="0" w:line="277" w:lineRule="auto"/>
        <w:rPr>
          <w:sz w:val="20"/>
          <w:szCs w:val="20"/>
          <w:color w:val="auto"/>
        </w:rPr>
      </w:pPr>
      <w:r>
        <w:rPr>
          <w:rFonts w:ascii="Arial" w:cs="Arial" w:eastAsia="Arial" w:hAnsi="Arial"/>
          <w:sz w:val="17"/>
          <w:szCs w:val="17"/>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How do ADS holders interchange between Certificated ADSs and Uncertificated ADSs?</w:t>
      </w:r>
    </w:p>
    <w:p>
      <w:pPr>
        <w:spacing w:after="0" w:line="115" w:lineRule="exact"/>
        <w:rPr>
          <w:sz w:val="20"/>
          <w:szCs w:val="20"/>
          <w:color w:val="auto"/>
        </w:rPr>
      </w:pPr>
    </w:p>
    <w:p>
      <w:pPr>
        <w:jc w:val="both"/>
        <w:ind w:left="240" w:right="60" w:firstLine="438"/>
        <w:spacing w:after="0" w:line="257"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60"/>
          </w:cols>
          <w:pgMar w:left="240" w:top="457"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Voting Rights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How do you vote?</w:t>
      </w:r>
    </w:p>
    <w:p>
      <w:pPr>
        <w:spacing w:after="0" w:line="115"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color w:val="auto"/>
        </w:rPr>
        <w:t xml:space="preserve">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Arial" w:cs="Arial" w:eastAsia="Arial" w:hAnsi="Arial"/>
          <w:sz w:val="18"/>
          <w:szCs w:val="18"/>
          <w:i w:val="1"/>
          <w:iCs w:val="1"/>
          <w:color w:val="auto"/>
        </w:rPr>
        <w:t>Otherwise, you could exercise your right to vote directly if you withdraw the ordinary shares. However, you may not know about the</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sufficiently enough in advance to withdraw the ordinary shares.</w:t>
      </w:r>
    </w:p>
    <w:p>
      <w:pPr>
        <w:spacing w:after="0" w:line="188" w:lineRule="exact"/>
        <w:rPr>
          <w:sz w:val="20"/>
          <w:szCs w:val="20"/>
          <w:color w:val="auto"/>
        </w:rPr>
      </w:pPr>
    </w:p>
    <w:p>
      <w:pPr>
        <w:ind w:left="240" w:right="20" w:firstLine="438"/>
        <w:spacing w:after="0" w:line="266" w:lineRule="auto"/>
        <w:rPr>
          <w:sz w:val="20"/>
          <w:szCs w:val="20"/>
          <w:color w:val="auto"/>
        </w:rPr>
      </w:pPr>
      <w:r>
        <w:rPr>
          <w:rFonts w:ascii="Arial" w:cs="Arial" w:eastAsia="Arial" w:hAnsi="Arial"/>
          <w:sz w:val="17"/>
          <w:szCs w:val="17"/>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80" w:lineRule="exact"/>
        <w:rPr>
          <w:sz w:val="20"/>
          <w:szCs w:val="20"/>
          <w:color w:val="auto"/>
        </w:rPr>
      </w:pPr>
    </w:p>
    <w:p>
      <w:pPr>
        <w:jc w:val="both"/>
        <w:ind w:left="240" w:right="220" w:firstLine="438"/>
        <w:spacing w:after="0" w:line="309"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49" w:lineRule="exact"/>
        <w:rPr>
          <w:sz w:val="20"/>
          <w:szCs w:val="20"/>
          <w:color w:val="auto"/>
        </w:rPr>
      </w:pPr>
    </w:p>
    <w:p>
      <w:pPr>
        <w:jc w:val="both"/>
        <w:ind w:left="240" w:right="180" w:firstLine="438"/>
        <w:spacing w:after="0" w:line="262" w:lineRule="auto"/>
        <w:rPr>
          <w:sz w:val="20"/>
          <w:szCs w:val="20"/>
          <w:color w:val="auto"/>
        </w:rPr>
      </w:pPr>
      <w:r>
        <w:rPr>
          <w:rFonts w:ascii="Arial" w:cs="Arial" w:eastAsia="Arial" w:hAnsi="Arial"/>
          <w:sz w:val="18"/>
          <w:szCs w:val="18"/>
          <w:color w:val="auto"/>
        </w:rPr>
        <w:t xml:space="preserve">The depositary and its agents are not responsible for failing to carry out voting instructions or for the manner of carrying out voting instructions. </w:t>
      </w:r>
      <w:r>
        <w:rPr>
          <w:rFonts w:ascii="Arial" w:cs="Arial" w:eastAsia="Arial" w:hAnsi="Arial"/>
          <w:sz w:val="18"/>
          <w:szCs w:val="18"/>
          <w:i w:val="1"/>
          <w:iCs w:val="1"/>
          <w:color w:val="auto"/>
        </w:rPr>
        <w:t>This means that you may not be able to exercise your right to vote and you may have no recourse if the ordinary shares underlying your ADSs are not voted as you requested.</w:t>
      </w:r>
    </w:p>
    <w:p>
      <w:pPr>
        <w:spacing w:after="0" w:line="181" w:lineRule="exact"/>
        <w:rPr>
          <w:sz w:val="20"/>
          <w:szCs w:val="20"/>
          <w:color w:val="auto"/>
        </w:rPr>
      </w:pPr>
    </w:p>
    <w:p>
      <w:pPr>
        <w:ind w:left="240" w:right="180" w:firstLine="438"/>
        <w:spacing w:after="0" w:line="262"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80"/>
          </w:cols>
          <w:pgMar w:left="240" w:top="458"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Compliance with Regulations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Information Requests</w:t>
      </w:r>
    </w:p>
    <w:p>
      <w:pPr>
        <w:spacing w:after="0" w:line="115" w:lineRule="exact"/>
        <w:rPr>
          <w:sz w:val="20"/>
          <w:szCs w:val="20"/>
          <w:color w:val="auto"/>
        </w:rPr>
      </w:pPr>
    </w:p>
    <w:p>
      <w:pPr>
        <w:ind w:left="240" w:right="100" w:firstLine="438"/>
        <w:spacing w:after="0" w:line="286" w:lineRule="auto"/>
        <w:rPr>
          <w:sz w:val="20"/>
          <w:szCs w:val="20"/>
          <w:color w:val="auto"/>
        </w:rPr>
      </w:pPr>
      <w:r>
        <w:rPr>
          <w:rFonts w:ascii="Arial" w:cs="Arial" w:eastAsia="Arial" w:hAnsi="Arial"/>
          <w:sz w:val="16"/>
          <w:szCs w:val="16"/>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Disclosure of Interests</w:t>
      </w:r>
    </w:p>
    <w:p>
      <w:pPr>
        <w:spacing w:after="0" w:line="115" w:lineRule="exact"/>
        <w:rPr>
          <w:sz w:val="20"/>
          <w:szCs w:val="20"/>
          <w:color w:val="auto"/>
        </w:rPr>
      </w:pPr>
    </w:p>
    <w:p>
      <w:pPr>
        <w:jc w:val="both"/>
        <w:ind w:left="240" w:right="80" w:firstLine="438"/>
        <w:spacing w:after="0" w:line="255" w:lineRule="auto"/>
        <w:rPr>
          <w:sz w:val="20"/>
          <w:szCs w:val="20"/>
          <w:color w:val="auto"/>
        </w:rPr>
      </w:pPr>
      <w:r>
        <w:rPr>
          <w:rFonts w:ascii="Arial" w:cs="Arial" w:eastAsia="Arial" w:hAnsi="Arial"/>
          <w:sz w:val="18"/>
          <w:szCs w:val="18"/>
          <w:color w:val="auto"/>
        </w:rPr>
        <w:t>Each ADS holder and beneficial owner shall comply with our requests pursuant to Cayman Islands law, the rules and requirements of the Nasdaq Global Market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Fees and Expenses</w:t>
      </w:r>
    </w:p>
    <w:p>
      <w:pPr>
        <w:spacing w:after="0" w:line="119" w:lineRule="exact"/>
        <w:rPr>
          <w:sz w:val="20"/>
          <w:szCs w:val="20"/>
          <w:color w:val="auto"/>
        </w:rPr>
      </w:pPr>
    </w:p>
    <w:p>
      <w:pPr>
        <w:ind w:left="240" w:right="160" w:firstLine="438"/>
        <w:spacing w:after="0" w:line="339" w:lineRule="auto"/>
        <w:rPr>
          <w:sz w:val="20"/>
          <w:szCs w:val="20"/>
          <w:color w:val="auto"/>
        </w:rPr>
      </w:pPr>
      <w:r>
        <w:rPr>
          <w:rFonts w:ascii="Arial" w:cs="Arial" w:eastAsia="Arial" w:hAnsi="Arial"/>
          <w:sz w:val="16"/>
          <w:szCs w:val="16"/>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ectPr>
          <w:pgSz w:w="11900" w:h="16838" w:orient="portrait"/>
          <w:cols w:equalWidth="0" w:num="1">
            <w:col w:w="11200"/>
          </w:cols>
          <w:pgMar w:left="240" w:top="458" w:right="459" w:bottom="1440" w:gutter="0" w:footer="0" w:header="0"/>
        </w:sectPr>
      </w:pPr>
    </w:p>
    <w:p>
      <w:pPr>
        <w:spacing w:after="0" w:line="143" w:lineRule="exact"/>
        <w:rPr>
          <w:sz w:val="20"/>
          <w:szCs w:val="20"/>
          <w:color w:val="auto"/>
        </w:rPr>
      </w:pPr>
    </w:p>
    <w:p>
      <w:pPr>
        <w:ind w:left="240"/>
        <w:spacing w:after="0"/>
        <w:rPr>
          <w:sz w:val="20"/>
          <w:szCs w:val="20"/>
          <w:color w:val="auto"/>
        </w:rPr>
      </w:pPr>
      <w:r>
        <w:rPr>
          <w:rFonts w:ascii="Arial" w:cs="Arial" w:eastAsia="Arial" w:hAnsi="Arial"/>
          <w:sz w:val="14"/>
          <w:szCs w:val="14"/>
          <w:b w:val="1"/>
          <w:bCs w:val="1"/>
          <w:u w:val="single" w:color="auto"/>
          <w:color w:val="auto"/>
        </w:rPr>
        <w:t>Service</w:t>
      </w:r>
    </w:p>
    <w:p>
      <w:pPr>
        <w:spacing w:after="0" w:line="24" w:lineRule="exact"/>
        <w:rPr>
          <w:sz w:val="20"/>
          <w:szCs w:val="20"/>
          <w:color w:val="auto"/>
        </w:rPr>
      </w:pPr>
    </w:p>
    <w:p>
      <w:pPr>
        <w:ind w:left="600" w:right="140" w:hanging="364"/>
        <w:spacing w:after="0" w:line="293" w:lineRule="auto"/>
        <w:tabs>
          <w:tab w:leader="none" w:pos="58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p>
      <w:pPr>
        <w:spacing w:after="0" w:line="52" w:lineRule="exact"/>
        <w:rPr>
          <w:rFonts w:ascii="Arial" w:cs="Arial" w:eastAsia="Arial" w:hAnsi="Arial"/>
          <w:sz w:val="16"/>
          <w:szCs w:val="16"/>
          <w:color w:val="auto"/>
        </w:rPr>
      </w:pPr>
    </w:p>
    <w:p>
      <w:pPr>
        <w:ind w:left="600" w:right="220" w:hanging="364"/>
        <w:spacing w:after="0" w:line="275" w:lineRule="auto"/>
        <w:tabs>
          <w:tab w:leader="none" w:pos="5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Cancellation of ADSs, including the case of termination of the deposit agreement</w:t>
      </w:r>
    </w:p>
    <w:p>
      <w:pPr>
        <w:spacing w:after="0" w:line="62" w:lineRule="exact"/>
        <w:rPr>
          <w:rFonts w:ascii="Arial" w:cs="Arial" w:eastAsia="Arial" w:hAnsi="Arial"/>
          <w:sz w:val="18"/>
          <w:szCs w:val="18"/>
          <w:color w:val="auto"/>
        </w:rPr>
      </w:pPr>
    </w:p>
    <w:p>
      <w:pPr>
        <w:ind w:left="580" w:hanging="344"/>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Distribution of cash dividends</w:t>
      </w:r>
    </w:p>
    <w:p>
      <w:pPr>
        <w:spacing w:after="0" w:line="115" w:lineRule="exact"/>
        <w:rPr>
          <w:rFonts w:ascii="Arial" w:cs="Arial" w:eastAsia="Arial" w:hAnsi="Arial"/>
          <w:sz w:val="18"/>
          <w:szCs w:val="18"/>
          <w:color w:val="auto"/>
        </w:rPr>
      </w:pPr>
    </w:p>
    <w:p>
      <w:pPr>
        <w:ind w:left="600" w:right="60" w:hanging="364"/>
        <w:spacing w:after="0" w:line="339" w:lineRule="auto"/>
        <w:tabs>
          <w:tab w:leader="none" w:pos="58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Distribution of cash entitlements (other than cash dividends) and/or cash proceeds from the sale of rights, securities and other entitlements</w:t>
      </w:r>
    </w:p>
    <w:p>
      <w:pPr>
        <w:spacing w:after="0" w:line="17" w:lineRule="exact"/>
        <w:rPr>
          <w:rFonts w:ascii="Arial" w:cs="Arial" w:eastAsia="Arial" w:hAnsi="Arial"/>
          <w:sz w:val="16"/>
          <w:szCs w:val="16"/>
          <w:color w:val="auto"/>
        </w:rPr>
      </w:pPr>
    </w:p>
    <w:p>
      <w:pPr>
        <w:ind w:left="580" w:hanging="344"/>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Distribution of ADSs pursuant to exercise of rights.</w:t>
      </w:r>
    </w:p>
    <w:p>
      <w:pPr>
        <w:spacing w:after="0" w:line="115" w:lineRule="exact"/>
        <w:rPr>
          <w:rFonts w:ascii="Arial" w:cs="Arial" w:eastAsia="Arial" w:hAnsi="Arial"/>
          <w:sz w:val="18"/>
          <w:szCs w:val="18"/>
          <w:color w:val="auto"/>
        </w:rPr>
      </w:pPr>
    </w:p>
    <w:p>
      <w:pPr>
        <w:ind w:left="600" w:right="740" w:hanging="364"/>
        <w:spacing w:after="0" w:line="275" w:lineRule="auto"/>
        <w:tabs>
          <w:tab w:leader="none" w:pos="5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Distribution of securities other than ADSs or rights to purchase additional ADSs</w:t>
      </w:r>
    </w:p>
    <w:p>
      <w:pPr>
        <w:spacing w:after="0" w:line="62" w:lineRule="exact"/>
        <w:rPr>
          <w:rFonts w:ascii="Arial" w:cs="Arial" w:eastAsia="Arial" w:hAnsi="Arial"/>
          <w:sz w:val="18"/>
          <w:szCs w:val="18"/>
          <w:color w:val="auto"/>
        </w:rPr>
      </w:pPr>
    </w:p>
    <w:p>
      <w:pPr>
        <w:ind w:left="580" w:hanging="344"/>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Up to US$</w:t>
            </w:r>
          </w:p>
        </w:tc>
        <w:tc>
          <w:tcPr>
            <w:tcW w:w="41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per ADS issued</w:t>
            </w:r>
          </w:p>
        </w:tc>
      </w:tr>
      <w:tr>
        <w:trPr>
          <w:trHeight w:val="932"/>
        </w:trPr>
        <w:tc>
          <w:tcPr>
            <w:tcW w:w="1060" w:type="dxa"/>
            <w:vAlign w:val="bottom"/>
          </w:tcPr>
          <w:p>
            <w:pPr>
              <w:spacing w:after="0"/>
              <w:rPr>
                <w:sz w:val="20"/>
                <w:szCs w:val="20"/>
                <w:color w:val="auto"/>
              </w:rPr>
            </w:pPr>
            <w:r>
              <w:rPr>
                <w:rFonts w:ascii="Arial" w:cs="Arial" w:eastAsia="Arial" w:hAnsi="Arial"/>
                <w:sz w:val="18"/>
                <w:szCs w:val="18"/>
                <w:color w:val="auto"/>
              </w:rPr>
              <w:t>Up to US$</w:t>
            </w:r>
          </w:p>
        </w:tc>
        <w:tc>
          <w:tcPr>
            <w:tcW w:w="4100" w:type="dxa"/>
            <w:vAlign w:val="bottom"/>
          </w:tcPr>
          <w:p>
            <w:pPr>
              <w:ind w:left="300"/>
              <w:spacing w:after="0"/>
              <w:rPr>
                <w:sz w:val="20"/>
                <w:szCs w:val="20"/>
                <w:color w:val="auto"/>
              </w:rPr>
            </w:pPr>
            <w:r>
              <w:rPr>
                <w:rFonts w:ascii="Arial" w:cs="Arial" w:eastAsia="Arial" w:hAnsi="Arial"/>
                <w:sz w:val="18"/>
                <w:szCs w:val="18"/>
                <w:color w:val="auto"/>
              </w:rPr>
              <w:t>per ADS cancelled</w:t>
            </w:r>
          </w:p>
        </w:tc>
      </w:tr>
      <w:tr>
        <w:trPr>
          <w:trHeight w:val="537"/>
        </w:trPr>
        <w:tc>
          <w:tcPr>
            <w:tcW w:w="1060" w:type="dxa"/>
            <w:vAlign w:val="bottom"/>
          </w:tcPr>
          <w:p>
            <w:pPr>
              <w:spacing w:after="0"/>
              <w:rPr>
                <w:sz w:val="20"/>
                <w:szCs w:val="20"/>
                <w:color w:val="auto"/>
              </w:rPr>
            </w:pPr>
            <w:r>
              <w:rPr>
                <w:rFonts w:ascii="Arial" w:cs="Arial" w:eastAsia="Arial" w:hAnsi="Arial"/>
                <w:sz w:val="18"/>
                <w:szCs w:val="18"/>
                <w:color w:val="auto"/>
              </w:rPr>
              <w:t>Up to US$</w:t>
            </w:r>
          </w:p>
        </w:tc>
        <w:tc>
          <w:tcPr>
            <w:tcW w:w="4100" w:type="dxa"/>
            <w:vAlign w:val="bottom"/>
          </w:tcPr>
          <w:p>
            <w:pPr>
              <w:ind w:left="300"/>
              <w:spacing w:after="0"/>
              <w:rPr>
                <w:sz w:val="20"/>
                <w:szCs w:val="20"/>
                <w:color w:val="auto"/>
              </w:rPr>
            </w:pPr>
            <w:r>
              <w:rPr>
                <w:rFonts w:ascii="Arial" w:cs="Arial" w:eastAsia="Arial" w:hAnsi="Arial"/>
                <w:sz w:val="18"/>
                <w:szCs w:val="18"/>
                <w:color w:val="auto"/>
              </w:rPr>
              <w:t>per ADS held</w:t>
            </w:r>
          </w:p>
        </w:tc>
      </w:tr>
      <w:tr>
        <w:trPr>
          <w:trHeight w:val="322"/>
        </w:trPr>
        <w:tc>
          <w:tcPr>
            <w:tcW w:w="1060" w:type="dxa"/>
            <w:vAlign w:val="bottom"/>
          </w:tcPr>
          <w:p>
            <w:pPr>
              <w:spacing w:after="0"/>
              <w:rPr>
                <w:sz w:val="20"/>
                <w:szCs w:val="20"/>
                <w:color w:val="auto"/>
              </w:rPr>
            </w:pPr>
            <w:r>
              <w:rPr>
                <w:rFonts w:ascii="Arial" w:cs="Arial" w:eastAsia="Arial" w:hAnsi="Arial"/>
                <w:sz w:val="18"/>
                <w:szCs w:val="18"/>
                <w:color w:val="auto"/>
              </w:rPr>
              <w:t>Up to US$</w:t>
            </w:r>
          </w:p>
        </w:tc>
        <w:tc>
          <w:tcPr>
            <w:tcW w:w="4100" w:type="dxa"/>
            <w:vAlign w:val="bottom"/>
          </w:tcPr>
          <w:p>
            <w:pPr>
              <w:ind w:left="300"/>
              <w:spacing w:after="0"/>
              <w:rPr>
                <w:sz w:val="20"/>
                <w:szCs w:val="20"/>
                <w:color w:val="auto"/>
              </w:rPr>
            </w:pPr>
            <w:r>
              <w:rPr>
                <w:rFonts w:ascii="Arial" w:cs="Arial" w:eastAsia="Arial" w:hAnsi="Arial"/>
                <w:sz w:val="18"/>
                <w:szCs w:val="18"/>
                <w:color w:val="auto"/>
              </w:rPr>
              <w:t>per ADS held</w:t>
            </w:r>
          </w:p>
        </w:tc>
      </w:tr>
      <w:tr>
        <w:trPr>
          <w:trHeight w:val="537"/>
        </w:trPr>
        <w:tc>
          <w:tcPr>
            <w:tcW w:w="1060" w:type="dxa"/>
            <w:vAlign w:val="bottom"/>
          </w:tcPr>
          <w:p>
            <w:pPr>
              <w:spacing w:after="0"/>
              <w:rPr>
                <w:sz w:val="20"/>
                <w:szCs w:val="20"/>
                <w:color w:val="auto"/>
              </w:rPr>
            </w:pPr>
            <w:r>
              <w:rPr>
                <w:rFonts w:ascii="Arial" w:cs="Arial" w:eastAsia="Arial" w:hAnsi="Arial"/>
                <w:sz w:val="18"/>
                <w:szCs w:val="18"/>
                <w:color w:val="auto"/>
              </w:rPr>
              <w:t>Up to US$</w:t>
            </w:r>
          </w:p>
        </w:tc>
        <w:tc>
          <w:tcPr>
            <w:tcW w:w="4100" w:type="dxa"/>
            <w:vAlign w:val="bottom"/>
          </w:tcPr>
          <w:p>
            <w:pPr>
              <w:ind w:left="300"/>
              <w:spacing w:after="0"/>
              <w:rPr>
                <w:sz w:val="20"/>
                <w:szCs w:val="20"/>
                <w:color w:val="auto"/>
              </w:rPr>
            </w:pPr>
            <w:r>
              <w:rPr>
                <w:rFonts w:ascii="Arial" w:cs="Arial" w:eastAsia="Arial" w:hAnsi="Arial"/>
                <w:sz w:val="18"/>
                <w:szCs w:val="18"/>
                <w:color w:val="auto"/>
              </w:rPr>
              <w:t>per ADS held</w:t>
            </w:r>
          </w:p>
        </w:tc>
      </w:tr>
      <w:tr>
        <w:trPr>
          <w:trHeight w:val="322"/>
        </w:trPr>
        <w:tc>
          <w:tcPr>
            <w:tcW w:w="1060" w:type="dxa"/>
            <w:vAlign w:val="bottom"/>
          </w:tcPr>
          <w:p>
            <w:pPr>
              <w:spacing w:after="0"/>
              <w:rPr>
                <w:sz w:val="20"/>
                <w:szCs w:val="20"/>
                <w:color w:val="auto"/>
              </w:rPr>
            </w:pPr>
            <w:r>
              <w:rPr>
                <w:rFonts w:ascii="Arial" w:cs="Arial" w:eastAsia="Arial" w:hAnsi="Arial"/>
                <w:sz w:val="18"/>
                <w:szCs w:val="18"/>
                <w:color w:val="auto"/>
              </w:rPr>
              <w:t>Up to US$</w:t>
            </w:r>
          </w:p>
        </w:tc>
        <w:tc>
          <w:tcPr>
            <w:tcW w:w="4100" w:type="dxa"/>
            <w:vAlign w:val="bottom"/>
          </w:tcPr>
          <w:p>
            <w:pPr>
              <w:ind w:left="300"/>
              <w:spacing w:after="0"/>
              <w:rPr>
                <w:sz w:val="20"/>
                <w:szCs w:val="20"/>
                <w:color w:val="auto"/>
              </w:rPr>
            </w:pPr>
            <w:r>
              <w:rPr>
                <w:rFonts w:ascii="Arial" w:cs="Arial" w:eastAsia="Arial" w:hAnsi="Arial"/>
                <w:sz w:val="18"/>
                <w:szCs w:val="18"/>
                <w:color w:val="auto"/>
              </w:rPr>
              <w:t>per ADS held</w:t>
            </w:r>
          </w:p>
        </w:tc>
      </w:tr>
    </w:tbl>
    <w:p>
      <w:pPr>
        <w:spacing w:after="0" w:line="308"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Up to US$ per ADS held on the applicable record date(s) established by the depositary bank</w:t>
      </w:r>
    </w:p>
    <w:p>
      <w:pPr>
        <w:sectPr>
          <w:pgSz w:w="11900" w:h="16838" w:orient="portrait"/>
          <w:cols w:equalWidth="0" w:num="2">
            <w:col w:w="5840" w:space="200"/>
            <w:col w:w="5160"/>
          </w:cols>
          <w:pgMar w:left="240" w:top="458" w:right="45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760" w:firstLine="438"/>
        <w:spacing w:after="0" w:line="262"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7" w:lineRule="exact"/>
        <w:rPr>
          <w:sz w:val="20"/>
          <w:szCs w:val="20"/>
          <w:color w:val="auto"/>
        </w:rPr>
      </w:pPr>
    </w:p>
    <w:p>
      <w:pPr>
        <w:ind w:left="660" w:right="140" w:hanging="317"/>
        <w:spacing w:after="0" w:line="275"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76" w:lineRule="exact"/>
        <w:rPr>
          <w:rFonts w:ascii="Arial" w:cs="Arial" w:eastAsia="Arial" w:hAnsi="Arial"/>
          <w:sz w:val="18"/>
          <w:szCs w:val="18"/>
          <w:color w:val="auto"/>
        </w:rPr>
      </w:pPr>
    </w:p>
    <w:p>
      <w:pPr>
        <w:ind w:left="660" w:hanging="317"/>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28" w:lineRule="exact"/>
        <w:rPr>
          <w:rFonts w:ascii="Arial" w:cs="Arial" w:eastAsia="Arial" w:hAnsi="Arial"/>
          <w:sz w:val="18"/>
          <w:szCs w:val="18"/>
          <w:color w:val="auto"/>
        </w:rPr>
      </w:pPr>
    </w:p>
    <w:p>
      <w:pPr>
        <w:ind w:left="660" w:hanging="317"/>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28" w:lineRule="exact"/>
        <w:rPr>
          <w:rFonts w:ascii="Arial" w:cs="Arial" w:eastAsia="Arial" w:hAnsi="Arial"/>
          <w:sz w:val="18"/>
          <w:szCs w:val="18"/>
          <w:color w:val="auto"/>
        </w:rPr>
      </w:pPr>
    </w:p>
    <w:p>
      <w:pPr>
        <w:ind w:left="660" w:right="20" w:hanging="317"/>
        <w:spacing w:after="0" w:line="275"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76" w:lineRule="exact"/>
        <w:rPr>
          <w:rFonts w:ascii="Arial" w:cs="Arial" w:eastAsia="Arial" w:hAnsi="Arial"/>
          <w:sz w:val="18"/>
          <w:szCs w:val="18"/>
          <w:color w:val="auto"/>
        </w:rPr>
      </w:pPr>
    </w:p>
    <w:p>
      <w:pPr>
        <w:ind w:left="660" w:hanging="317"/>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128" w:lineRule="exact"/>
        <w:rPr>
          <w:rFonts w:ascii="Arial" w:cs="Arial" w:eastAsia="Arial" w:hAnsi="Arial"/>
          <w:sz w:val="18"/>
          <w:szCs w:val="18"/>
          <w:color w:val="auto"/>
        </w:rPr>
      </w:pPr>
    </w:p>
    <w:p>
      <w:pPr>
        <w:ind w:left="660" w:right="380" w:hanging="317"/>
        <w:spacing w:after="0" w:line="275"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ordinary shares, deposited securities, ADSs and ADRs.</w:t>
      </w:r>
    </w:p>
    <w:p>
      <w:pPr>
        <w:spacing w:after="0" w:line="76" w:lineRule="exact"/>
        <w:rPr>
          <w:rFonts w:ascii="Arial" w:cs="Arial" w:eastAsia="Arial" w:hAnsi="Arial"/>
          <w:sz w:val="18"/>
          <w:szCs w:val="18"/>
          <w:color w:val="auto"/>
        </w:rPr>
      </w:pPr>
    </w:p>
    <w:p>
      <w:pPr>
        <w:ind w:left="660" w:hanging="317"/>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3" w:lineRule="exact"/>
        <w:rPr>
          <w:sz w:val="20"/>
          <w:szCs w:val="20"/>
          <w:color w:val="auto"/>
        </w:rPr>
      </w:pPr>
    </w:p>
    <w:p>
      <w:pPr>
        <w:ind w:left="240" w:right="80" w:firstLine="438"/>
        <w:spacing w:after="0" w:line="255" w:lineRule="auto"/>
        <w:rPr>
          <w:sz w:val="20"/>
          <w:szCs w:val="20"/>
          <w:color w:val="auto"/>
        </w:rPr>
      </w:pPr>
      <w:r>
        <w:rPr>
          <w:rFonts w:ascii="Arial" w:cs="Arial" w:eastAsia="Arial" w:hAnsi="Arial"/>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9" w:lineRule="exact"/>
        <w:rPr>
          <w:sz w:val="20"/>
          <w:szCs w:val="20"/>
          <w:color w:val="auto"/>
        </w:rPr>
      </w:pPr>
    </w:p>
    <w:p>
      <w:pPr>
        <w:ind w:left="240" w:right="20" w:firstLine="438"/>
        <w:spacing w:after="0" w:line="290" w:lineRule="auto"/>
        <w:rPr>
          <w:sz w:val="20"/>
          <w:szCs w:val="20"/>
          <w:color w:val="auto"/>
        </w:rPr>
      </w:pPr>
      <w:r>
        <w:rPr>
          <w:rFonts w:ascii="Arial" w:cs="Arial" w:eastAsia="Arial" w:hAnsi="Arial"/>
          <w:sz w:val="16"/>
          <w:szCs w:val="16"/>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62" w:lineRule="exact"/>
        <w:rPr>
          <w:sz w:val="20"/>
          <w:szCs w:val="20"/>
          <w:color w:val="auto"/>
        </w:rPr>
      </w:pPr>
    </w:p>
    <w:p>
      <w:pPr>
        <w:ind w:left="240" w:right="60" w:firstLine="438"/>
        <w:spacing w:after="0" w:line="339" w:lineRule="auto"/>
        <w:rPr>
          <w:sz w:val="20"/>
          <w:szCs w:val="20"/>
          <w:color w:val="auto"/>
        </w:rPr>
      </w:pPr>
      <w:r>
        <w:rPr>
          <w:rFonts w:ascii="Arial" w:cs="Arial" w:eastAsia="Arial" w:hAnsi="Arial"/>
          <w:sz w:val="16"/>
          <w:szCs w:val="16"/>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25" w:lineRule="exact"/>
        <w:rPr>
          <w:sz w:val="20"/>
          <w:szCs w:val="20"/>
          <w:color w:val="auto"/>
        </w:rPr>
      </w:pPr>
    </w:p>
    <w:p>
      <w:pPr>
        <w:ind w:left="240" w:firstLine="438"/>
        <w:spacing w:after="0" w:line="305" w:lineRule="auto"/>
        <w:rPr>
          <w:sz w:val="20"/>
          <w:szCs w:val="20"/>
          <w:color w:val="auto"/>
        </w:rPr>
      </w:pPr>
      <w:r>
        <w:rPr>
          <w:rFonts w:ascii="Arial" w:cs="Arial" w:eastAsia="Arial" w:hAnsi="Arial"/>
          <w:sz w:val="17"/>
          <w:szCs w:val="17"/>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Payment of Taxes</w:t>
      </w:r>
    </w:p>
    <w:p>
      <w:pPr>
        <w:spacing w:after="0" w:line="119" w:lineRule="exact"/>
        <w:rPr>
          <w:sz w:val="20"/>
          <w:szCs w:val="20"/>
          <w:color w:val="auto"/>
        </w:rPr>
      </w:pPr>
    </w:p>
    <w:p>
      <w:pPr>
        <w:ind w:left="240" w:right="300" w:firstLine="438"/>
        <w:spacing w:after="0" w:line="274" w:lineRule="auto"/>
        <w:rPr>
          <w:sz w:val="20"/>
          <w:szCs w:val="20"/>
          <w:color w:val="auto"/>
        </w:rPr>
      </w:pPr>
      <w:r>
        <w:rPr>
          <w:rFonts w:ascii="Arial" w:cs="Arial" w:eastAsia="Arial" w:hAnsi="Arial"/>
          <w:sz w:val="17"/>
          <w:szCs w:val="17"/>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w:t>
      </w:r>
    </w:p>
    <w:p>
      <w:pPr>
        <w:spacing w:after="0" w:line="1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240" w:top="458" w:right="5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spacing w:after="0" w:line="255" w:lineRule="auto"/>
        <w:rPr>
          <w:sz w:val="20"/>
          <w:szCs w:val="20"/>
          <w:color w:val="auto"/>
        </w:rPr>
      </w:pPr>
      <w:r>
        <w:rPr>
          <w:rFonts w:ascii="Arial" w:cs="Arial" w:eastAsia="Arial" w:hAnsi="Arial"/>
          <w:sz w:val="18"/>
          <w:szCs w:val="18"/>
          <w:color w:val="auto"/>
        </w:rPr>
        <w:t>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If we:</w:t>
            </w:r>
          </w:p>
        </w:tc>
        <w:tc>
          <w:tcPr>
            <w:tcW w:w="5160" w:type="dxa"/>
            <w:vAlign w:val="bottom"/>
          </w:tcPr>
          <w:p>
            <w:pPr>
              <w:spacing w:after="0"/>
              <w:rPr>
                <w:sz w:val="20"/>
                <w:szCs w:val="20"/>
                <w:color w:val="auto"/>
              </w:rPr>
            </w:pPr>
            <w:r>
              <w:rPr>
                <w:rFonts w:ascii="Arial" w:cs="Arial" w:eastAsia="Arial" w:hAnsi="Arial"/>
                <w:sz w:val="14"/>
                <w:szCs w:val="14"/>
                <w:b w:val="1"/>
                <w:bCs w:val="1"/>
                <w:color w:val="auto"/>
              </w:rPr>
              <w:t>Then:</w:t>
            </w:r>
          </w:p>
        </w:tc>
      </w:tr>
      <w:tr>
        <w:trPr>
          <w:trHeight w:val="194"/>
        </w:trPr>
        <w:tc>
          <w:tcPr>
            <w:tcW w:w="20" w:type="dxa"/>
            <w:vAlign w:val="bottom"/>
          </w:tcPr>
          <w:p>
            <w:pPr>
              <w:spacing w:after="0"/>
              <w:rPr>
                <w:sz w:val="16"/>
                <w:szCs w:val="16"/>
                <w:color w:val="auto"/>
              </w:rPr>
            </w:pPr>
          </w:p>
        </w:tc>
        <w:tc>
          <w:tcPr>
            <w:tcW w:w="55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Change the nominal or par value of our ordinary shares</w:t>
            </w:r>
          </w:p>
        </w:tc>
        <w:tc>
          <w:tcPr>
            <w:tcW w:w="200" w:type="dxa"/>
            <w:vAlign w:val="bottom"/>
          </w:tcPr>
          <w:p>
            <w:pPr>
              <w:spacing w:after="0"/>
              <w:rPr>
                <w:sz w:val="16"/>
                <w:szCs w:val="16"/>
                <w:color w:val="auto"/>
              </w:rPr>
            </w:pPr>
          </w:p>
        </w:tc>
        <w:tc>
          <w:tcPr>
            <w:tcW w:w="51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6"/>
              </w:rPr>
              <w:t>The cash, shares or other securities received by the depositary will</w:t>
            </w:r>
          </w:p>
        </w:tc>
      </w:tr>
      <w:tr>
        <w:trPr>
          <w:trHeight w:val="229"/>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become deposited securities.</w:t>
            </w:r>
          </w:p>
        </w:tc>
      </w:tr>
      <w:tr>
        <w:trPr>
          <w:trHeight w:val="308"/>
        </w:trPr>
        <w:tc>
          <w:tcPr>
            <w:tcW w:w="5800" w:type="dxa"/>
            <w:vAlign w:val="bottom"/>
            <w:gridSpan w:val="3"/>
          </w:tcPr>
          <w:p>
            <w:pPr>
              <w:spacing w:after="0"/>
              <w:rPr>
                <w:sz w:val="20"/>
                <w:szCs w:val="20"/>
                <w:color w:val="auto"/>
              </w:rPr>
            </w:pPr>
            <w:r>
              <w:rPr>
                <w:rFonts w:ascii="Arial" w:cs="Arial" w:eastAsia="Arial" w:hAnsi="Arial"/>
                <w:sz w:val="18"/>
                <w:szCs w:val="18"/>
                <w:color w:val="auto"/>
              </w:rPr>
              <w:t>Reclassify, split up or consolidate any of the deposited securities</w:t>
            </w:r>
          </w:p>
        </w:tc>
        <w:tc>
          <w:tcPr>
            <w:tcW w:w="5160" w:type="dxa"/>
            <w:vAlign w:val="bottom"/>
          </w:tcPr>
          <w:p>
            <w:pPr>
              <w:spacing w:after="0"/>
              <w:rPr>
                <w:sz w:val="20"/>
                <w:szCs w:val="20"/>
                <w:color w:val="auto"/>
              </w:rPr>
            </w:pPr>
            <w:r>
              <w:rPr>
                <w:rFonts w:ascii="Arial" w:cs="Arial" w:eastAsia="Arial" w:hAnsi="Arial"/>
                <w:sz w:val="18"/>
                <w:szCs w:val="18"/>
                <w:color w:val="auto"/>
                <w:w w:val="99"/>
              </w:rPr>
              <w:t>Each ADS will automatically represent its equal share of the new</w:t>
            </w:r>
          </w:p>
        </w:tc>
      </w:tr>
      <w:tr>
        <w:trPr>
          <w:trHeight w:val="229"/>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deposited securities.</w:t>
            </w:r>
          </w:p>
        </w:tc>
      </w:tr>
    </w:tbl>
    <w:p>
      <w:pPr>
        <w:spacing w:after="0" w:line="93" w:lineRule="exact"/>
        <w:rPr>
          <w:sz w:val="20"/>
          <w:szCs w:val="20"/>
          <w:color w:val="auto"/>
        </w:rPr>
      </w:pPr>
    </w:p>
    <w:p>
      <w:pPr>
        <w:sectPr>
          <w:pgSz w:w="11900" w:h="16838" w:orient="portrait"/>
          <w:cols w:equalWidth="0" w:num="1">
            <w:col w:w="11200"/>
          </w:cols>
          <w:pgMar w:left="240" w:top="457" w:right="459" w:bottom="1440" w:gutter="0" w:footer="0" w:header="0"/>
        </w:sectPr>
      </w:pPr>
    </w:p>
    <w:p>
      <w:pPr>
        <w:ind w:left="240"/>
        <w:spacing w:after="0" w:line="262" w:lineRule="auto"/>
        <w:rPr>
          <w:sz w:val="20"/>
          <w:szCs w:val="20"/>
          <w:color w:val="auto"/>
        </w:rPr>
      </w:pPr>
      <w:r>
        <w:rPr>
          <w:rFonts w:ascii="Arial" w:cs="Arial" w:eastAsia="Arial" w:hAnsi="Arial"/>
          <w:sz w:val="18"/>
          <w:szCs w:val="18"/>
          <w:color w:val="auto"/>
        </w:rPr>
        <w:t>Distribute securities on the ordinary shares that are not distributed to you, or recapitalize, reorganize, merge, liquidate, sell all or substantially all of our assets, or take any similar action</w:t>
      </w: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Amendment and Termination</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ind w:right="200"/>
        <w:spacing w:after="0" w:line="257" w:lineRule="auto"/>
        <w:rPr>
          <w:sz w:val="20"/>
          <w:szCs w:val="20"/>
          <w:color w:val="auto"/>
        </w:rPr>
      </w:pPr>
      <w:r>
        <w:rPr>
          <w:rFonts w:ascii="Arial" w:cs="Arial" w:eastAsia="Arial" w:hAnsi="Arial"/>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939" w:lineRule="exact"/>
        <w:rPr>
          <w:sz w:val="20"/>
          <w:szCs w:val="20"/>
          <w:color w:val="auto"/>
        </w:rPr>
      </w:pPr>
    </w:p>
    <w:p>
      <w:pPr>
        <w:sectPr>
          <w:pgSz w:w="11900" w:h="16838" w:orient="portrait"/>
          <w:cols w:equalWidth="0" w:num="2">
            <w:col w:w="5700" w:space="340"/>
            <w:col w:w="5160"/>
          </w:cols>
          <w:pgMar w:left="240" w:top="457" w:right="459" w:bottom="1440" w:gutter="0" w:footer="0" w:header="0"/>
          <w:type w:val="continuous"/>
        </w:sectPr>
      </w:pPr>
    </w:p>
    <w:p>
      <w:pPr>
        <w:ind w:left="240" w:right="220" w:firstLine="438"/>
        <w:spacing w:after="0" w:line="268" w:lineRule="auto"/>
        <w:rPr>
          <w:sz w:val="20"/>
          <w:szCs w:val="20"/>
          <w:color w:val="auto"/>
        </w:rPr>
      </w:pPr>
      <w:r>
        <w:rPr>
          <w:rFonts w:ascii="Arial" w:cs="Arial" w:eastAsia="Arial" w:hAnsi="Arial"/>
          <w:sz w:val="17"/>
          <w:szCs w:val="17"/>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ordinary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w:t>
      </w:r>
      <w:r>
        <w:rPr>
          <w:rFonts w:ascii="Arial" w:cs="Arial" w:eastAsia="Arial" w:hAnsi="Arial"/>
          <w:sz w:val="17"/>
          <w:szCs w:val="17"/>
          <w:color w:val="auto"/>
        </w:rPr>
        <w:t xml:space="preserve"> </w:t>
      </w:r>
      <w:r>
        <w:rPr>
          <w:rFonts w:ascii="Arial" w:cs="Arial" w:eastAsia="Arial" w:hAnsi="Arial"/>
          <w:sz w:val="17"/>
          <w:szCs w:val="17"/>
          <w:i w:val="1"/>
          <w:iCs w:val="1"/>
          <w:color w:val="auto"/>
        </w:rPr>
        <w:t>effective, you are considered, by continuing to hold your ADSs, to agree to the amendment and to be bound by the ADRs and the deposit agreement as amended</w:t>
      </w:r>
      <w:r>
        <w:rPr>
          <w:rFonts w:ascii="Arial" w:cs="Arial" w:eastAsia="Arial" w:hAnsi="Arial"/>
          <w:sz w:val="17"/>
          <w:szCs w:val="17"/>
          <w:color w:val="auto"/>
        </w:rPr>
        <w:t>. If any new laws are adopted which would require the deposit agreement to be amended in order to comply therewith, we and the depositary</w:t>
      </w:r>
      <w:r>
        <w:rPr>
          <w:rFonts w:ascii="Arial" w:cs="Arial" w:eastAsia="Arial" w:hAnsi="Arial"/>
          <w:sz w:val="17"/>
          <w:szCs w:val="17"/>
          <w:i w:val="1"/>
          <w:iCs w:val="1"/>
          <w:color w:val="auto"/>
        </w:rPr>
        <w:t xml:space="preserve"> </w:t>
      </w:r>
      <w:r>
        <w:rPr>
          <w:rFonts w:ascii="Arial" w:cs="Arial" w:eastAsia="Arial" w:hAnsi="Arial"/>
          <w:sz w:val="17"/>
          <w:szCs w:val="17"/>
          <w:color w:val="auto"/>
        </w:rPr>
        <w:t>may amend the deposit agreement in accordance with such laws and such amendment may become effective before notice thereof is given to ADS holders.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How may the deposit agreement be terminated?</w:t>
      </w:r>
    </w:p>
    <w:p>
      <w:pPr>
        <w:spacing w:after="0" w:line="115" w:lineRule="exact"/>
        <w:rPr>
          <w:sz w:val="20"/>
          <w:szCs w:val="20"/>
          <w:color w:val="auto"/>
        </w:rPr>
      </w:pPr>
    </w:p>
    <w:p>
      <w:pPr>
        <w:ind w:left="240" w:right="40" w:firstLine="438"/>
        <w:spacing w:after="0" w:line="257" w:lineRule="auto"/>
        <w:rPr>
          <w:sz w:val="20"/>
          <w:szCs w:val="20"/>
          <w:color w:val="auto"/>
        </w:rPr>
      </w:pPr>
      <w:r>
        <w:rPr>
          <w:rFonts w:ascii="Arial" w:cs="Arial" w:eastAsia="Arial" w:hAnsi="Arial"/>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88" w:lineRule="exact"/>
        <w:rPr>
          <w:sz w:val="20"/>
          <w:szCs w:val="20"/>
          <w:color w:val="auto"/>
        </w:rPr>
      </w:pPr>
    </w:p>
    <w:p>
      <w:pPr>
        <w:ind w:left="240" w:right="20" w:firstLine="438"/>
        <w:spacing w:after="0" w:line="254" w:lineRule="auto"/>
        <w:rPr>
          <w:sz w:val="20"/>
          <w:szCs w:val="20"/>
          <w:color w:val="auto"/>
        </w:rPr>
      </w:pPr>
      <w:r>
        <w:rPr>
          <w:rFonts w:ascii="Arial" w:cs="Arial" w:eastAsia="Arial" w:hAnsi="Arial"/>
          <w:sz w:val="18"/>
          <w:szCs w:val="18"/>
          <w:color w:val="auto"/>
        </w:rPr>
        <w:t>After termination, the depositary and its agents will do the following under the deposit agreement but nothing else: collect distributions on the deposited securities, sell rights and other property and deliver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After</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57" w:right="45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740"/>
        <w:spacing w:after="0" w:line="275" w:lineRule="auto"/>
        <w:rPr>
          <w:sz w:val="20"/>
          <w:szCs w:val="20"/>
          <w:color w:val="auto"/>
        </w:rPr>
      </w:pPr>
      <w:r>
        <w:rPr>
          <w:rFonts w:ascii="Arial" w:cs="Arial" w:eastAsia="Arial" w:hAnsi="Arial"/>
          <w:sz w:val="18"/>
          <w:szCs w:val="18"/>
          <w:color w:val="auto"/>
        </w:rPr>
        <w:t>such sale, the depositary’s only obligations will be to account for the money and other cash. After termination, we shall be discharged from all obligations under the deposit agreement except for our obligations to the depositary thereunder.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Books of Depositary</w:t>
      </w:r>
    </w:p>
    <w:p>
      <w:pPr>
        <w:spacing w:after="0" w:line="119" w:lineRule="exact"/>
        <w:rPr>
          <w:sz w:val="20"/>
          <w:szCs w:val="20"/>
          <w:color w:val="auto"/>
        </w:rPr>
      </w:pPr>
    </w:p>
    <w:p>
      <w:pPr>
        <w:jc w:val="both"/>
        <w:ind w:left="240" w:right="360" w:firstLine="438"/>
        <w:spacing w:after="0" w:line="262"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81" w:lineRule="exact"/>
        <w:rPr>
          <w:sz w:val="20"/>
          <w:szCs w:val="20"/>
          <w:color w:val="auto"/>
        </w:rPr>
      </w:pPr>
    </w:p>
    <w:p>
      <w:pPr>
        <w:ind w:left="240" w:right="460" w:firstLine="438"/>
        <w:spacing w:after="0" w:line="275" w:lineRule="auto"/>
        <w:rPr>
          <w:sz w:val="20"/>
          <w:szCs w:val="20"/>
          <w:color w:val="auto"/>
        </w:rPr>
      </w:pPr>
      <w:r>
        <w:rPr>
          <w:rFonts w:ascii="Arial" w:cs="Arial" w:eastAsia="Arial" w:hAnsi="Arial"/>
          <w:sz w:val="18"/>
          <w:szCs w:val="18"/>
          <w:color w:val="auto"/>
        </w:rPr>
        <w:t>The depositary will maintain facilities in the Borough of Manhattan, The City of New York to record and process the issuance, cancellation, combination, split-up and transfer of ADRs.</w:t>
      </w:r>
    </w:p>
    <w:p>
      <w:pPr>
        <w:spacing w:after="0" w:line="170"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Limits on our Obligations and the Obligations of the Depositary and the Custodian; Limits on Liability to Holders of ADSs</w:t>
      </w:r>
    </w:p>
    <w:p>
      <w:pPr>
        <w:spacing w:after="0" w:line="115" w:lineRule="exact"/>
        <w:rPr>
          <w:sz w:val="20"/>
          <w:szCs w:val="20"/>
          <w:color w:val="auto"/>
        </w:rPr>
      </w:pPr>
    </w:p>
    <w:p>
      <w:pPr>
        <w:ind w:left="240" w:right="180" w:firstLine="438"/>
        <w:spacing w:after="0" w:line="275" w:lineRule="auto"/>
        <w:rPr>
          <w:sz w:val="20"/>
          <w:szCs w:val="20"/>
          <w:color w:val="auto"/>
        </w:rPr>
      </w:pPr>
      <w:r>
        <w:rPr>
          <w:rFonts w:ascii="Arial" w:cs="Arial" w:eastAsia="Arial" w:hAnsi="Arial"/>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76" w:lineRule="exact"/>
        <w:rPr>
          <w:sz w:val="20"/>
          <w:szCs w:val="20"/>
          <w:color w:val="auto"/>
        </w:rPr>
      </w:pPr>
    </w:p>
    <w:p>
      <w:pPr>
        <w:ind w:left="660" w:hanging="317"/>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gross negligence or willful misconduct;</w:t>
      </w:r>
    </w:p>
    <w:p>
      <w:pPr>
        <w:spacing w:after="0" w:line="128" w:lineRule="exact"/>
        <w:rPr>
          <w:rFonts w:ascii="Arial" w:cs="Arial" w:eastAsia="Arial" w:hAnsi="Arial"/>
          <w:sz w:val="18"/>
          <w:szCs w:val="18"/>
          <w:color w:val="auto"/>
        </w:rPr>
      </w:pPr>
    </w:p>
    <w:p>
      <w:pPr>
        <w:ind w:left="660" w:right="40" w:hanging="317"/>
        <w:spacing w:after="0" w:line="290"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68" w:lineRule="exact"/>
        <w:rPr>
          <w:rFonts w:ascii="Arial" w:cs="Arial" w:eastAsia="Arial" w:hAnsi="Arial"/>
          <w:sz w:val="16"/>
          <w:szCs w:val="16"/>
          <w:color w:val="auto"/>
        </w:rPr>
      </w:pPr>
    </w:p>
    <w:p>
      <w:pPr>
        <w:ind w:left="660" w:right="100" w:hanging="317"/>
        <w:spacing w:after="0" w:line="275"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76" w:lineRule="exact"/>
        <w:rPr>
          <w:rFonts w:ascii="Arial" w:cs="Arial" w:eastAsia="Arial" w:hAnsi="Arial"/>
          <w:sz w:val="18"/>
          <w:szCs w:val="18"/>
          <w:color w:val="auto"/>
        </w:rPr>
      </w:pPr>
    </w:p>
    <w:p>
      <w:pPr>
        <w:ind w:left="660" w:right="60" w:hanging="317"/>
        <w:spacing w:after="0" w:line="262"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87" w:lineRule="exact"/>
        <w:rPr>
          <w:rFonts w:ascii="Arial" w:cs="Arial" w:eastAsia="Arial" w:hAnsi="Arial"/>
          <w:sz w:val="18"/>
          <w:szCs w:val="18"/>
          <w:color w:val="auto"/>
        </w:rPr>
      </w:pPr>
    </w:p>
    <w:p>
      <w:pPr>
        <w:ind w:left="660" w:right="140" w:hanging="317"/>
        <w:spacing w:after="0" w:line="275"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76" w:lineRule="exact"/>
        <w:rPr>
          <w:rFonts w:ascii="Arial" w:cs="Arial" w:eastAsia="Arial" w:hAnsi="Arial"/>
          <w:sz w:val="18"/>
          <w:szCs w:val="18"/>
          <w:color w:val="auto"/>
        </w:rPr>
      </w:pPr>
    </w:p>
    <w:p>
      <w:pPr>
        <w:ind w:left="660" w:hanging="317"/>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are not liable for any special, consequential, indirect or punitive damages for any breach of the terms of the deposit agreement, or otherwise;</w:t>
      </w:r>
    </w:p>
    <w:p>
      <w:pPr>
        <w:spacing w:after="0" w:line="151" w:lineRule="exact"/>
        <w:rPr>
          <w:rFonts w:ascii="Arial" w:cs="Arial" w:eastAsia="Arial" w:hAnsi="Arial"/>
          <w:sz w:val="16"/>
          <w:szCs w:val="16"/>
          <w:color w:val="auto"/>
        </w:rPr>
      </w:pPr>
    </w:p>
    <w:p>
      <w:pPr>
        <w:ind w:left="660" w:hanging="317"/>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may rely upon any documents we believe in good faith to be genuine and to have been signed or presented by the proper party;</w:t>
      </w: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60"/>
          </w:cols>
          <w:pgMar w:left="240" w:top="457"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660" w:right="20" w:hanging="317"/>
        <w:spacing w:after="0" w:line="284"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71" w:lineRule="exact"/>
        <w:rPr>
          <w:rFonts w:ascii="Arial" w:cs="Arial" w:eastAsia="Arial" w:hAnsi="Arial"/>
          <w:sz w:val="17"/>
          <w:szCs w:val="17"/>
          <w:color w:val="auto"/>
        </w:rPr>
      </w:pPr>
    </w:p>
    <w:p>
      <w:pPr>
        <w:ind w:left="660" w:right="460" w:hanging="317"/>
        <w:spacing w:after="0" w:line="275"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70"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84" w:lineRule="exact"/>
        <w:rPr>
          <w:sz w:val="20"/>
          <w:szCs w:val="20"/>
          <w:color w:val="auto"/>
        </w:rPr>
      </w:pPr>
    </w:p>
    <w:p>
      <w:pPr>
        <w:ind w:left="240" w:right="360" w:firstLine="438"/>
        <w:spacing w:after="0" w:line="284" w:lineRule="auto"/>
        <w:rPr>
          <w:sz w:val="20"/>
          <w:szCs w:val="20"/>
          <w:color w:val="auto"/>
        </w:rPr>
      </w:pPr>
      <w:r>
        <w:rPr>
          <w:rFonts w:ascii="Arial" w:cs="Arial" w:eastAsia="Arial" w:hAnsi="Arial"/>
          <w:sz w:val="17"/>
          <w:szCs w:val="17"/>
          <w:color w:val="auto"/>
        </w:rPr>
        <w:t>In addition, 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the depositary or our company related to our shares, the ADSs or the deposit agreement.</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In the deposit agreement, we </w:t>
      </w:r>
      <w:r>
        <w:rPr>
          <w:rFonts w:ascii="Arial" w:cs="Arial" w:eastAsia="Arial" w:hAnsi="Arial"/>
          <w:sz w:val="18"/>
          <w:szCs w:val="18"/>
          <w:i w:val="1"/>
          <w:iCs w:val="1"/>
          <w:color w:val="auto"/>
        </w:rPr>
        <w:t>and the depositary</w:t>
      </w:r>
      <w:r>
        <w:rPr>
          <w:rFonts w:ascii="Arial" w:cs="Arial" w:eastAsia="Arial" w:hAnsi="Arial"/>
          <w:sz w:val="18"/>
          <w:szCs w:val="18"/>
          <w:color w:val="auto"/>
        </w:rPr>
        <w:t xml:space="preserve"> agree to indemnify </w:t>
      </w:r>
      <w:r>
        <w:rPr>
          <w:rFonts w:ascii="Arial" w:cs="Arial" w:eastAsia="Arial" w:hAnsi="Arial"/>
          <w:sz w:val="18"/>
          <w:szCs w:val="18"/>
          <w:i w:val="1"/>
          <w:iCs w:val="1"/>
          <w:color w:val="auto"/>
        </w:rPr>
        <w:t>each other</w:t>
      </w:r>
      <w:r>
        <w:rPr>
          <w:rFonts w:ascii="Arial" w:cs="Arial" w:eastAsia="Arial" w:hAnsi="Arial"/>
          <w:sz w:val="18"/>
          <w:szCs w:val="18"/>
          <w:color w:val="auto"/>
        </w:rPr>
        <w:t xml:space="preserve"> under certain circumstances.</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19" w:lineRule="exact"/>
        <w:rPr>
          <w:sz w:val="20"/>
          <w:szCs w:val="20"/>
          <w:color w:val="auto"/>
        </w:rPr>
      </w:pPr>
    </w:p>
    <w:p>
      <w:pPr>
        <w:ind w:left="240" w:right="20" w:firstLine="438"/>
        <w:spacing w:after="0" w:line="275" w:lineRule="auto"/>
        <w:rPr>
          <w:sz w:val="20"/>
          <w:szCs w:val="20"/>
          <w:color w:val="auto"/>
        </w:rPr>
      </w:pPr>
      <w:r>
        <w:rPr>
          <w:rFonts w:ascii="Arial" w:cs="Arial" w:eastAsia="Arial" w:hAnsi="Arial"/>
          <w:sz w:val="18"/>
          <w:szCs w:val="18"/>
          <w:color w:val="auto"/>
        </w:rPr>
        <w:t>Before the depositary will issue, deliver or register a transfer of an ADS, split-up, subdivide or combine ADSs, make a distribution on an ADS, or permit withdrawal of ordinary shares, the depositary may require:</w:t>
      </w:r>
    </w:p>
    <w:p>
      <w:pPr>
        <w:spacing w:after="0" w:line="76" w:lineRule="exact"/>
        <w:rPr>
          <w:sz w:val="20"/>
          <w:szCs w:val="20"/>
          <w:color w:val="auto"/>
        </w:rPr>
      </w:pPr>
    </w:p>
    <w:p>
      <w:pPr>
        <w:ind w:left="660" w:right="100" w:hanging="317"/>
        <w:spacing w:after="0" w:line="305"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53" w:lineRule="exact"/>
        <w:rPr>
          <w:rFonts w:ascii="Arial" w:cs="Arial" w:eastAsia="Arial" w:hAnsi="Arial"/>
          <w:sz w:val="17"/>
          <w:szCs w:val="17"/>
          <w:color w:val="auto"/>
        </w:rPr>
      </w:pPr>
    </w:p>
    <w:p>
      <w:pPr>
        <w:ind w:left="660" w:hanging="317"/>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any other matters contemplated in the deposit agreement; and</w:t>
      </w:r>
    </w:p>
    <w:p>
      <w:pPr>
        <w:spacing w:after="0" w:line="128" w:lineRule="exact"/>
        <w:rPr>
          <w:rFonts w:ascii="Arial" w:cs="Arial" w:eastAsia="Arial" w:hAnsi="Arial"/>
          <w:sz w:val="18"/>
          <w:szCs w:val="18"/>
          <w:color w:val="auto"/>
        </w:rPr>
      </w:pPr>
    </w:p>
    <w:p>
      <w:pPr>
        <w:ind w:left="660" w:right="80" w:hanging="317"/>
        <w:spacing w:after="0" w:line="284"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65" w:lineRule="exact"/>
        <w:rPr>
          <w:sz w:val="20"/>
          <w:szCs w:val="20"/>
          <w:color w:val="auto"/>
        </w:rPr>
      </w:pPr>
    </w:p>
    <w:p>
      <w:pPr>
        <w:ind w:left="240" w:right="260" w:firstLine="438"/>
        <w:spacing w:after="0" w:line="275" w:lineRule="auto"/>
        <w:rPr>
          <w:sz w:val="20"/>
          <w:szCs w:val="20"/>
          <w:color w:val="auto"/>
        </w:rPr>
      </w:pPr>
      <w:r>
        <w:rPr>
          <w:rFonts w:ascii="Arial" w:cs="Arial" w:eastAsia="Arial" w:hAnsi="Arial"/>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You have the right to cancel your ADSs and withdraw the underlying ordinary shares at any time except:</w:t>
      </w:r>
    </w:p>
    <w:p>
      <w:pPr>
        <w:spacing w:after="0" w:line="129" w:lineRule="exact"/>
        <w:rPr>
          <w:sz w:val="20"/>
          <w:szCs w:val="20"/>
          <w:color w:val="auto"/>
        </w:rPr>
      </w:pPr>
    </w:p>
    <w:p>
      <w:pPr>
        <w:ind w:left="660" w:right="360" w:hanging="317"/>
        <w:spacing w:after="0" w:line="339"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240" w:top="458" w:right="5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hanging="317"/>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w:t>
      </w:r>
    </w:p>
    <w:p>
      <w:pPr>
        <w:spacing w:after="0" w:line="128" w:lineRule="exact"/>
        <w:rPr>
          <w:rFonts w:ascii="Arial" w:cs="Arial" w:eastAsia="Arial" w:hAnsi="Arial"/>
          <w:sz w:val="18"/>
          <w:szCs w:val="18"/>
          <w:color w:val="auto"/>
        </w:rPr>
      </w:pPr>
    </w:p>
    <w:p>
      <w:pPr>
        <w:ind w:left="660" w:hanging="317"/>
        <w:spacing w:after="0" w:line="275"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 or</w:t>
      </w:r>
    </w:p>
    <w:p>
      <w:pPr>
        <w:spacing w:after="0" w:line="76" w:lineRule="exact"/>
        <w:rPr>
          <w:rFonts w:ascii="Arial" w:cs="Arial" w:eastAsia="Arial" w:hAnsi="Arial"/>
          <w:sz w:val="18"/>
          <w:szCs w:val="18"/>
          <w:color w:val="auto"/>
        </w:rPr>
      </w:pPr>
    </w:p>
    <w:p>
      <w:pPr>
        <w:ind w:left="660" w:right="380" w:hanging="317"/>
        <w:spacing w:after="0" w:line="275"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 or</w:t>
      </w:r>
    </w:p>
    <w:p>
      <w:pPr>
        <w:spacing w:after="0" w:line="76" w:lineRule="exact"/>
        <w:rPr>
          <w:rFonts w:ascii="Arial" w:cs="Arial" w:eastAsia="Arial" w:hAnsi="Arial"/>
          <w:sz w:val="18"/>
          <w:szCs w:val="18"/>
          <w:color w:val="auto"/>
        </w:rPr>
      </w:pPr>
    </w:p>
    <w:p>
      <w:pPr>
        <w:ind w:left="660" w:hanging="317"/>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any other reason if the depositary or we determine, in good faith, that it is necessary or advisable to prohibit withdrawals.</w:t>
      </w:r>
    </w:p>
    <w:p>
      <w:pPr>
        <w:spacing w:after="0" w:line="223" w:lineRule="exact"/>
        <w:rPr>
          <w:sz w:val="20"/>
          <w:szCs w:val="20"/>
          <w:color w:val="auto"/>
        </w:rPr>
      </w:pPr>
    </w:p>
    <w:p>
      <w:pPr>
        <w:ind w:left="240" w:right="60" w:firstLine="438"/>
        <w:spacing w:after="0" w:line="305" w:lineRule="auto"/>
        <w:rPr>
          <w:sz w:val="20"/>
          <w:szCs w:val="20"/>
          <w:color w:val="auto"/>
        </w:rPr>
      </w:pPr>
      <w:r>
        <w:rPr>
          <w:rFonts w:ascii="Arial" w:cs="Arial" w:eastAsia="Arial" w:hAnsi="Arial"/>
          <w:sz w:val="17"/>
          <w:szCs w:val="17"/>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Direct Registration System</w:t>
      </w:r>
    </w:p>
    <w:p>
      <w:pPr>
        <w:spacing w:after="0" w:line="119" w:lineRule="exact"/>
        <w:rPr>
          <w:sz w:val="20"/>
          <w:szCs w:val="20"/>
          <w:color w:val="auto"/>
        </w:rPr>
      </w:pPr>
    </w:p>
    <w:p>
      <w:pPr>
        <w:ind w:left="240" w:right="60" w:firstLine="438"/>
        <w:spacing w:after="0" w:line="272" w:lineRule="auto"/>
        <w:rPr>
          <w:sz w:val="20"/>
          <w:szCs w:val="20"/>
          <w:color w:val="auto"/>
        </w:rPr>
      </w:pPr>
      <w:r>
        <w:rPr>
          <w:rFonts w:ascii="Arial" w:cs="Arial" w:eastAsia="Arial" w:hAnsi="Arial"/>
          <w:sz w:val="17"/>
          <w:szCs w:val="17"/>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00"/>
          </w:cols>
          <w:pgMar w:left="240" w:top="458"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SHARES ELIGIBLE FOR FUTURE SALES</w:t>
      </w:r>
    </w:p>
    <w:p>
      <w:pPr>
        <w:spacing w:after="0" w:line="119" w:lineRule="exact"/>
        <w:rPr>
          <w:sz w:val="20"/>
          <w:szCs w:val="20"/>
          <w:color w:val="auto"/>
        </w:rPr>
      </w:pPr>
    </w:p>
    <w:p>
      <w:pPr>
        <w:ind w:left="240" w:firstLine="438"/>
        <w:spacing w:after="0" w:line="272" w:lineRule="auto"/>
        <w:rPr>
          <w:sz w:val="20"/>
          <w:szCs w:val="20"/>
          <w:color w:val="auto"/>
        </w:rPr>
      </w:pPr>
      <w:r>
        <w:rPr>
          <w:rFonts w:ascii="Arial" w:cs="Arial" w:eastAsia="Arial" w:hAnsi="Arial"/>
          <w:sz w:val="17"/>
          <w:szCs w:val="17"/>
          <w:color w:val="auto"/>
        </w:rPr>
        <w:t>Upon completion of this offering, we will have ADSs outstanding, representing approximately % of our outstanding ordinary shares, assuming the underwriters do not exercise their over-allotment option. All of the ADSs sold in this offering will be freely transferable by persons other than by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We will apply to list the ADSs on the Nasdaq Global Market, but we cannot assure you that a regular trading market will develop in the ADSs. We do not expect that a trading market will develop for our ordinary shares not represented by the ADSs.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Lock-up Agreements</w:t>
      </w:r>
    </w:p>
    <w:p>
      <w:pPr>
        <w:spacing w:after="0" w:line="119" w:lineRule="exact"/>
        <w:rPr>
          <w:sz w:val="20"/>
          <w:szCs w:val="20"/>
          <w:color w:val="auto"/>
        </w:rPr>
      </w:pPr>
    </w:p>
    <w:p>
      <w:pPr>
        <w:ind w:left="240" w:firstLine="438"/>
        <w:spacing w:after="0" w:line="252" w:lineRule="auto"/>
        <w:rPr>
          <w:sz w:val="20"/>
          <w:szCs w:val="20"/>
          <w:color w:val="auto"/>
        </w:rPr>
      </w:pPr>
      <w:r>
        <w:rPr>
          <w:rFonts w:ascii="Arial" w:cs="Arial" w:eastAsia="Arial" w:hAnsi="Arial"/>
          <w:sz w:val="18"/>
          <w:szCs w:val="18"/>
          <w:color w:val="auto"/>
        </w:rPr>
        <w:t>We, [our directors and executive officers, our existing shareholders and certain option holders] have agreed, for a period of 180 days after the date of this prospectus, subject to certain exceptions, not to offer, pledge, sell, contract to sell, sell any option or contract to purchase, purchase any option or contract to sell, grant any option, right or warrant to purchase, lend or otherwise transfer or dispose of, directly or indirectly, our ordinary shares or ADSs or securities that are substantially similar to our ordinary shares or ADSs (including by entering into any swap or other arrangement that transfers to another, in whole or in part, any of the economic consequences of ownership interests), whether any of these transactions are to be settled by delivery of ADSs, in cash or otherwise. The foregoing restrictions also apply to any ADSs acquired by our directors and executive officers in the offering pursuant to the directed ADS program, if any. These parties collectively own all of our outstanding ordinary shares, without giving effect to this offering.</w:t>
      </w:r>
    </w:p>
    <w:p>
      <w:pPr>
        <w:spacing w:after="0" w:line="195" w:lineRule="exact"/>
        <w:rPr>
          <w:sz w:val="20"/>
          <w:szCs w:val="20"/>
          <w:color w:val="auto"/>
        </w:rPr>
      </w:pPr>
    </w:p>
    <w:p>
      <w:pPr>
        <w:ind w:left="240" w:right="60" w:firstLine="438"/>
        <w:spacing w:after="0" w:line="254"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Rule 144</w:t>
      </w:r>
    </w:p>
    <w:p>
      <w:pPr>
        <w:spacing w:after="0" w:line="119" w:lineRule="exact"/>
        <w:rPr>
          <w:sz w:val="20"/>
          <w:szCs w:val="20"/>
          <w:color w:val="auto"/>
        </w:rPr>
      </w:pPr>
    </w:p>
    <w:p>
      <w:pPr>
        <w:ind w:left="240" w:firstLine="438"/>
        <w:spacing w:after="0" w:line="287" w:lineRule="auto"/>
        <w:rPr>
          <w:sz w:val="20"/>
          <w:szCs w:val="20"/>
          <w:color w:val="auto"/>
        </w:rPr>
      </w:pPr>
      <w:r>
        <w:rPr>
          <w:rFonts w:ascii="Arial" w:cs="Arial" w:eastAsia="Arial" w:hAnsi="Arial"/>
          <w:sz w:val="16"/>
          <w:szCs w:val="16"/>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74" w:lineRule="exact"/>
        <w:rPr>
          <w:sz w:val="20"/>
          <w:szCs w:val="20"/>
          <w:color w:val="auto"/>
        </w:rPr>
      </w:pPr>
    </w:p>
    <w:p>
      <w:pPr>
        <w:ind w:left="1100" w:hanging="435"/>
        <w:spacing w:after="0"/>
        <w:tabs>
          <w:tab w:leader="none" w:pos="11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1% of the then outstanding ordinary shares of the same class, in the form of ADSs or otherwise, which immediately after this offering will</w:t>
      </w:r>
    </w:p>
    <w:p>
      <w:pPr>
        <w:spacing w:after="0" w:line="45" w:lineRule="exact"/>
        <w:rPr>
          <w:sz w:val="20"/>
          <w:szCs w:val="20"/>
          <w:color w:val="auto"/>
        </w:rPr>
      </w:pPr>
    </w:p>
    <w:p>
      <w:pPr>
        <w:ind w:left="1100"/>
        <w:spacing w:after="0"/>
        <w:tabs>
          <w:tab w:leader="none" w:pos="2180" w:val="left"/>
        </w:tabs>
        <w:rPr>
          <w:sz w:val="20"/>
          <w:szCs w:val="20"/>
          <w:color w:val="auto"/>
        </w:rPr>
      </w:pPr>
      <w:r>
        <w:rPr>
          <w:rFonts w:ascii="Arial" w:cs="Arial" w:eastAsia="Arial" w:hAnsi="Arial"/>
          <w:sz w:val="18"/>
          <w:szCs w:val="18"/>
          <w:color w:val="auto"/>
        </w:rPr>
        <w:t>equal</w:t>
      </w:r>
      <w:r>
        <w:rPr>
          <w:sz w:val="20"/>
          <w:szCs w:val="20"/>
          <w:color w:val="auto"/>
        </w:rPr>
        <w:tab/>
      </w:r>
      <w:r>
        <w:rPr>
          <w:rFonts w:ascii="Arial" w:cs="Arial" w:eastAsia="Arial" w:hAnsi="Arial"/>
          <w:sz w:val="18"/>
          <w:szCs w:val="18"/>
          <w:color w:val="auto"/>
        </w:rPr>
        <w:t>ordinary shares, assuming the underwriters do not exercise their over-allotment option; or</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240" w:top="457" w:right="5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100" w:right="280" w:hanging="435"/>
        <w:spacing w:after="0" w:line="275" w:lineRule="auto"/>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70" w:lineRule="exact"/>
        <w:rPr>
          <w:sz w:val="20"/>
          <w:szCs w:val="20"/>
          <w:color w:val="auto"/>
        </w:rPr>
      </w:pPr>
    </w:p>
    <w:p>
      <w:pPr>
        <w:ind w:left="240" w:right="300" w:firstLine="438"/>
        <w:spacing w:after="0" w:line="275"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Rule 701</w:t>
      </w:r>
    </w:p>
    <w:p>
      <w:pPr>
        <w:spacing w:after="0" w:line="119"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240" w:top="457" w:right="5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TAXATION</w:t>
      </w:r>
    </w:p>
    <w:p>
      <w:pPr>
        <w:spacing w:after="0" w:line="119" w:lineRule="exact"/>
        <w:rPr>
          <w:sz w:val="20"/>
          <w:szCs w:val="20"/>
          <w:color w:val="auto"/>
        </w:rPr>
      </w:pPr>
    </w:p>
    <w:p>
      <w:pPr>
        <w:ind w:left="240" w:right="180" w:firstLine="438"/>
        <w:spacing w:after="0" w:line="285" w:lineRule="auto"/>
        <w:rPr>
          <w:sz w:val="20"/>
          <w:szCs w:val="20"/>
          <w:color w:val="auto"/>
        </w:rPr>
      </w:pPr>
      <w:r>
        <w:rPr>
          <w:rFonts w:ascii="Arial" w:cs="Arial" w:eastAsia="Arial" w:hAnsi="Arial"/>
          <w:sz w:val="16"/>
          <w:szCs w:val="16"/>
          <w:color w:val="auto"/>
        </w:rPr>
        <w:t>The following summary of the material Cayman Islands, PRC and U.S. federal income tax consequences of an investment in our ADSs or ordinary shares is based upon laws and relevant interpretations thereof in effect as of the date of this registration statement, all of which are subject to change. This summary does not deal with all possible tax consequences relating to an investment in our ADSs or ordinary shares, such as the tax consequences under U.S. state and local tax laws or under the tax laws of jurisdictions other than the Cayman Islands, China and the United States. To</w:t>
      </w:r>
    </w:p>
    <w:p>
      <w:pPr>
        <w:ind w:left="240" w:right="260"/>
        <w:spacing w:after="0" w:line="258" w:lineRule="auto"/>
        <w:rPr>
          <w:sz w:val="20"/>
          <w:szCs w:val="20"/>
          <w:color w:val="auto"/>
        </w:rPr>
      </w:pPr>
      <w:r>
        <w:rPr>
          <w:rFonts w:ascii="Arial" w:cs="Arial" w:eastAsia="Arial" w:hAnsi="Arial"/>
          <w:sz w:val="18"/>
          <w:szCs w:val="18"/>
          <w:color w:val="auto"/>
        </w:rPr>
        <w:t>the extent that the discussion relates to matters of Cayman Islands tax law, it represents the opinion of , our counsel as to Cayman Islands law, and to the extent it relates to PRC tax law, it represents the opinion of CM Law Firm, our counsel as to PRC law.</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Cayman Islands Taxation</w:t>
      </w:r>
    </w:p>
    <w:p>
      <w:pPr>
        <w:spacing w:after="0" w:line="119" w:lineRule="exact"/>
        <w:rPr>
          <w:sz w:val="20"/>
          <w:szCs w:val="20"/>
          <w:color w:val="auto"/>
        </w:rPr>
      </w:pPr>
    </w:p>
    <w:p>
      <w:pPr>
        <w:ind w:left="240" w:right="260" w:firstLine="438"/>
        <w:spacing w:after="0" w:line="255"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9" w:lineRule="exact"/>
        <w:rPr>
          <w:sz w:val="20"/>
          <w:szCs w:val="20"/>
          <w:color w:val="auto"/>
        </w:rPr>
      </w:pPr>
    </w:p>
    <w:p>
      <w:pPr>
        <w:ind w:left="240" w:right="80" w:firstLine="438"/>
        <w:spacing w:after="0" w:line="309" w:lineRule="auto"/>
        <w:rPr>
          <w:sz w:val="20"/>
          <w:szCs w:val="20"/>
          <w:color w:val="auto"/>
        </w:rPr>
      </w:pPr>
      <w:r>
        <w:rPr>
          <w:rFonts w:ascii="Arial" w:cs="Arial" w:eastAsia="Arial" w:hAnsi="Arial"/>
          <w:sz w:val="16"/>
          <w:szCs w:val="16"/>
          <w:color w:val="auto"/>
        </w:rPr>
        <w:t>Our company has been incorporated under the laws of the Cayman Islands as an exempted company with limited liability and, as such, has obtained an undertaking from the Governor in Cabinet of the Cayman Islands as to tax concessions under the Tax Concessions Law (2011 Revision). In accordance with the provision of Section 6 of The Tax Concessions Law (2011 Revision), the Governor in Cabinet undertakes with our company:</w:t>
      </w:r>
    </w:p>
    <w:p>
      <w:pPr>
        <w:spacing w:after="0" w:line="55" w:lineRule="exact"/>
        <w:rPr>
          <w:sz w:val="20"/>
          <w:szCs w:val="20"/>
          <w:color w:val="auto"/>
        </w:rPr>
      </w:pPr>
    </w:p>
    <w:p>
      <w:pPr>
        <w:ind w:left="660" w:right="160" w:hanging="317"/>
        <w:spacing w:after="0" w:line="275"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that no law which is hereafter enacted in the Cayman Islands imposing any tax to be levied on profits, income, gains or appreciations shall apply to our company or its operations; and</w:t>
      </w:r>
    </w:p>
    <w:p>
      <w:pPr>
        <w:spacing w:after="0" w:line="76" w:lineRule="exact"/>
        <w:rPr>
          <w:rFonts w:ascii="Arial" w:cs="Arial" w:eastAsia="Arial" w:hAnsi="Arial"/>
          <w:sz w:val="18"/>
          <w:szCs w:val="18"/>
          <w:color w:val="auto"/>
        </w:rPr>
      </w:pPr>
    </w:p>
    <w:p>
      <w:pPr>
        <w:ind w:left="660" w:right="320" w:hanging="317"/>
        <w:spacing w:after="0" w:line="275"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w:t>
      </w:r>
    </w:p>
    <w:p>
      <w:pPr>
        <w:spacing w:after="0" w:line="76" w:lineRule="exact"/>
        <w:rPr>
          <w:rFonts w:ascii="Arial" w:cs="Arial" w:eastAsia="Arial" w:hAnsi="Arial"/>
          <w:sz w:val="18"/>
          <w:szCs w:val="18"/>
          <w:color w:val="auto"/>
        </w:rPr>
      </w:pPr>
    </w:p>
    <w:p>
      <w:pPr>
        <w:ind w:left="660" w:hanging="317"/>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 or in respect of the shares, debentures or other obligations of our company; or</w:t>
      </w:r>
    </w:p>
    <w:p>
      <w:pPr>
        <w:spacing w:after="0" w:line="128" w:lineRule="exact"/>
        <w:rPr>
          <w:rFonts w:ascii="Arial" w:cs="Arial" w:eastAsia="Arial" w:hAnsi="Arial"/>
          <w:sz w:val="18"/>
          <w:szCs w:val="18"/>
          <w:color w:val="auto"/>
        </w:rPr>
      </w:pPr>
    </w:p>
    <w:p>
      <w:pPr>
        <w:ind w:left="680" w:right="380" w:hanging="337"/>
        <w:spacing w:after="0" w:line="524" w:lineRule="auto"/>
        <w:tabs>
          <w:tab w:leader="none" w:pos="67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way of the withholding, in whole or part, of any relevant payment as defined in Section 6(3) of the Tax Concessions Law (2011 Revision). These concessions shall be for a period of 20 years from March 14, 2018.</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PRC Taxation</w:t>
      </w:r>
    </w:p>
    <w:p>
      <w:pPr>
        <w:spacing w:after="0" w:line="119" w:lineRule="exact"/>
        <w:rPr>
          <w:sz w:val="20"/>
          <w:szCs w:val="20"/>
          <w:color w:val="auto"/>
        </w:rPr>
      </w:pPr>
    </w:p>
    <w:p>
      <w:pPr>
        <w:ind w:left="240" w:firstLine="438"/>
        <w:spacing w:after="0" w:line="267"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China with “de facto management body” within China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China; (ii) decisions relating to the enterprise’s financial and human resource matters are made or are subject to</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80"/>
          </w:cols>
          <w:pgMar w:left="240" w:top="457"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40" w:right="400"/>
        <w:spacing w:after="0" w:line="262" w:lineRule="auto"/>
        <w:rPr>
          <w:sz w:val="20"/>
          <w:szCs w:val="20"/>
          <w:color w:val="auto"/>
        </w:rPr>
      </w:pPr>
      <w:r>
        <w:rPr>
          <w:rFonts w:ascii="Arial" w:cs="Arial" w:eastAsia="Arial" w:hAnsi="Arial"/>
          <w:sz w:val="18"/>
          <w:szCs w:val="18"/>
          <w:color w:val="auto"/>
        </w:rPr>
        <w:t>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81" w:lineRule="exact"/>
        <w:rPr>
          <w:sz w:val="20"/>
          <w:szCs w:val="20"/>
          <w:color w:val="auto"/>
        </w:rPr>
      </w:pPr>
    </w:p>
    <w:p>
      <w:pPr>
        <w:ind w:left="240" w:right="100" w:firstLine="438"/>
        <w:spacing w:after="0" w:line="270" w:lineRule="auto"/>
        <w:rPr>
          <w:sz w:val="20"/>
          <w:szCs w:val="20"/>
          <w:color w:val="auto"/>
        </w:rPr>
      </w:pPr>
      <w:r>
        <w:rPr>
          <w:rFonts w:ascii="Arial" w:cs="Arial" w:eastAsia="Arial" w:hAnsi="Arial"/>
          <w:sz w:val="17"/>
          <w:szCs w:val="17"/>
          <w:color w:val="auto"/>
        </w:rPr>
        <w:t>We believe that Futu Holdings Limited is not a PRC resident enterprise for PRC tax purposes. Futu Holdings Limited is not controlled by a PRC enterprise or PRC enterprise group and we do not believe that Futu Holdings Limited meets all of the conditions above. Futu Holdings Limited is a company incorporated outside China. As a holding company, its key assets are its ownership interests in its subsidiaries, and its key assets are located, and its records (including the resolutions of its board of directors and the resolutions of its shareholders) are maintained, outside China. In addition, we are not aware of any offshore holding companies with a similar corporate structure as ours ever having been deemed a PRC “resident enterprise” by the PRC tax authorities. However, the tax resident status of an enterprise is subject to determination by the PRC tax authorities and uncertainties remain with respect to the interpretation of the term “de facto management body.”</w:t>
      </w:r>
    </w:p>
    <w:p>
      <w:pPr>
        <w:spacing w:after="0" w:line="179" w:lineRule="exact"/>
        <w:rPr>
          <w:sz w:val="20"/>
          <w:szCs w:val="20"/>
          <w:color w:val="auto"/>
        </w:rPr>
      </w:pPr>
    </w:p>
    <w:p>
      <w:pPr>
        <w:ind w:left="240" w:right="80" w:firstLine="438"/>
        <w:spacing w:after="0" w:line="286" w:lineRule="auto"/>
        <w:rPr>
          <w:sz w:val="20"/>
          <w:szCs w:val="20"/>
          <w:color w:val="auto"/>
        </w:rPr>
      </w:pPr>
      <w:r>
        <w:rPr>
          <w:rFonts w:ascii="Arial" w:cs="Arial" w:eastAsia="Arial" w:hAnsi="Arial"/>
          <w:sz w:val="16"/>
          <w:szCs w:val="16"/>
          <w:color w:val="auto"/>
        </w:rPr>
        <w:t>If the PRC tax authorities determine that Futu Holdings Limited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ordinary shares, if such income is treated as sourced from within China.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Futu Holdings Limited would be able to claim the benefits of any tax treaties between their country of tax residence and China in the event that Futu Holdings Limited is treated as a PRC resident enterprise. See “Risk Factors—Risks Related to Doing Business in China—We may be treated as a resident enterprise for PRC tax purposes under the PRC Enterprise Income Tax Law, and we may therefore be subject to PRC income tax on our global income.”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19"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our ADSs or ordinary shares by a U.S. Holder (as defined below) that acquires our ADSs in this offering and holds our ADSs or ordinary shares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and alternative minimum tax considerations, or any state, local and non-U.S. tax considerations, relating to the ownership or disposition of our ADSs or ordinary shares. The following summary does not address all aspects of U.S. federal income taxation that may be important to particular investors in light of their individual circumstances or to persons in special tax situations such as:</w:t>
      </w:r>
    </w:p>
    <w:p>
      <w:pPr>
        <w:spacing w:after="0" w:line="90" w:lineRule="exact"/>
        <w:rPr>
          <w:sz w:val="20"/>
          <w:szCs w:val="20"/>
          <w:color w:val="auto"/>
        </w:rPr>
      </w:pPr>
    </w:p>
    <w:p>
      <w:pPr>
        <w:ind w:left="1100" w:hanging="327"/>
        <w:spacing w:after="0"/>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80"/>
          </w:cols>
          <w:pgMar w:left="240" w:top="457"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100" w:hanging="327"/>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traders that elect to use a mark-to-market method of accounting;</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certain former U.S. citizens or long-term residents;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tax-exempt entities (including private foundations);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individual retirement accounts or other tax-deferred accounts;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acquire their ADSs or ordinary shares pursuant to any employee share option or otherwise as compensation;</w:t>
      </w:r>
    </w:p>
    <w:p>
      <w:pPr>
        <w:spacing w:after="0" w:line="128" w:lineRule="exact"/>
        <w:rPr>
          <w:rFonts w:ascii="Arial" w:cs="Arial" w:eastAsia="Arial" w:hAnsi="Arial"/>
          <w:sz w:val="18"/>
          <w:szCs w:val="18"/>
          <w:color w:val="auto"/>
        </w:rPr>
      </w:pPr>
    </w:p>
    <w:p>
      <w:pPr>
        <w:ind w:left="1100" w:right="760" w:hanging="327"/>
        <w:spacing w:after="0" w:line="275" w:lineRule="auto"/>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investors that will hold their ADSs or ordinary shares as part of a straddle, hedge, conversion, constructive sale or other integrated transaction for U.S. federal income tax purposes;</w:t>
      </w:r>
    </w:p>
    <w:p>
      <w:pPr>
        <w:spacing w:after="0" w:line="76" w:lineRule="exact"/>
        <w:rPr>
          <w:rFonts w:ascii="Arial" w:cs="Arial" w:eastAsia="Arial" w:hAnsi="Arial"/>
          <w:sz w:val="18"/>
          <w:szCs w:val="18"/>
          <w:color w:val="auto"/>
        </w:rPr>
      </w:pPr>
    </w:p>
    <w:p>
      <w:pPr>
        <w:ind w:left="1100" w:hanging="327"/>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investors that have a functional currency other than the U.S. dollar;</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ADSs or ordinary shares (by vote or value);</w:t>
      </w:r>
    </w:p>
    <w:p>
      <w:pPr>
        <w:spacing w:after="0" w:line="128" w:lineRule="exact"/>
        <w:rPr>
          <w:rFonts w:ascii="Arial" w:cs="Arial" w:eastAsia="Arial" w:hAnsi="Arial"/>
          <w:sz w:val="18"/>
          <w:szCs w:val="18"/>
          <w:color w:val="auto"/>
        </w:rPr>
      </w:pPr>
    </w:p>
    <w:p>
      <w:pPr>
        <w:ind w:left="1100" w:right="180" w:hanging="327"/>
        <w:spacing w:after="0" w:line="275" w:lineRule="auto"/>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with respect to their ADSs or ordinary shares as a result of such income being recognized on an applicable financial statement; or</w:t>
      </w:r>
    </w:p>
    <w:p>
      <w:pPr>
        <w:spacing w:after="0" w:line="76" w:lineRule="exact"/>
        <w:rPr>
          <w:rFonts w:ascii="Arial" w:cs="Arial" w:eastAsia="Arial" w:hAnsi="Arial"/>
          <w:sz w:val="18"/>
          <w:szCs w:val="18"/>
          <w:color w:val="auto"/>
        </w:rPr>
      </w:pPr>
    </w:p>
    <w:p>
      <w:pPr>
        <w:ind w:left="1100" w:right="480" w:hanging="327"/>
        <w:spacing w:after="0" w:line="275" w:lineRule="auto"/>
        <w:tabs>
          <w:tab w:leader="none" w:pos="11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partnerships or other entities taxable as partnerships for U.S. federal income tax purposes, or persons holding ADSs or ordinary shares through such entities.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of whom may be subject to tax rules that differ significantly from those discussed below.</w:t>
      </w:r>
    </w:p>
    <w:p>
      <w:pPr>
        <w:spacing w:after="0" w:line="223" w:lineRule="exact"/>
        <w:rPr>
          <w:sz w:val="20"/>
          <w:szCs w:val="20"/>
          <w:color w:val="auto"/>
        </w:rPr>
      </w:pPr>
    </w:p>
    <w:p>
      <w:pPr>
        <w:ind w:left="240" w:right="60" w:firstLine="438"/>
        <w:spacing w:after="0" w:line="275" w:lineRule="auto"/>
        <w:rPr>
          <w:sz w:val="20"/>
          <w:szCs w:val="20"/>
          <w:color w:val="auto"/>
        </w:rPr>
      </w:pPr>
      <w:r>
        <w:rPr>
          <w:rFonts w:ascii="Arial" w:cs="Arial" w:eastAsia="Arial" w:hAnsi="Arial"/>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ordinary shares.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For purposes of this discussion, a “U.S. Holder” is a beneficial owner of our ADSs or ordinary shares that is, for U.S. federal income tax purposes:</w:t>
      </w:r>
    </w:p>
    <w:p>
      <w:pPr>
        <w:spacing w:after="0" w:line="152" w:lineRule="exact"/>
        <w:rPr>
          <w:sz w:val="20"/>
          <w:szCs w:val="20"/>
          <w:color w:val="auto"/>
        </w:rPr>
      </w:pPr>
    </w:p>
    <w:p>
      <w:pPr>
        <w:ind w:left="1100" w:hanging="327"/>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8" w:lineRule="exact"/>
        <w:rPr>
          <w:rFonts w:ascii="Arial" w:cs="Arial" w:eastAsia="Arial" w:hAnsi="Arial"/>
          <w:sz w:val="18"/>
          <w:szCs w:val="18"/>
          <w:color w:val="auto"/>
        </w:rPr>
      </w:pPr>
    </w:p>
    <w:p>
      <w:pPr>
        <w:ind w:left="1100" w:right="280" w:hanging="327"/>
        <w:spacing w:after="0" w:line="275" w:lineRule="auto"/>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in, or organized under the laws of the United States or any state thereof or the District of Columbia;</w:t>
      </w:r>
    </w:p>
    <w:p>
      <w:pPr>
        <w:spacing w:after="0" w:line="76" w:lineRule="exact"/>
        <w:rPr>
          <w:rFonts w:ascii="Arial" w:cs="Arial" w:eastAsia="Arial" w:hAnsi="Arial"/>
          <w:sz w:val="18"/>
          <w:szCs w:val="18"/>
          <w:color w:val="auto"/>
        </w:rPr>
      </w:pPr>
    </w:p>
    <w:p>
      <w:pPr>
        <w:ind w:left="1100" w:hanging="327"/>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28" w:lineRule="exact"/>
        <w:rPr>
          <w:rFonts w:ascii="Arial" w:cs="Arial" w:eastAsia="Arial" w:hAnsi="Arial"/>
          <w:sz w:val="18"/>
          <w:szCs w:val="18"/>
          <w:color w:val="auto"/>
        </w:rPr>
      </w:pPr>
    </w:p>
    <w:p>
      <w:pPr>
        <w:ind w:left="1100" w:hanging="327"/>
        <w:spacing w:after="0" w:line="262" w:lineRule="auto"/>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81" w:lineRule="exact"/>
        <w:rPr>
          <w:sz w:val="20"/>
          <w:szCs w:val="20"/>
          <w:color w:val="auto"/>
        </w:rPr>
      </w:pPr>
    </w:p>
    <w:p>
      <w:pPr>
        <w:ind w:left="240" w:firstLine="438"/>
        <w:spacing w:after="0" w:line="309" w:lineRule="auto"/>
        <w:rPr>
          <w:sz w:val="20"/>
          <w:szCs w:val="20"/>
          <w:color w:val="auto"/>
        </w:rPr>
      </w:pPr>
      <w:r>
        <w:rPr>
          <w:rFonts w:ascii="Arial" w:cs="Arial" w:eastAsia="Arial" w:hAnsi="Arial"/>
          <w:sz w:val="16"/>
          <w:szCs w:val="16"/>
          <w:color w:val="auto"/>
        </w:rPr>
        <w:t>If a partnership (or other entity treated as a partnership for U.S. federal income tax purposes) is a beneficial owner of our ADSs or ordinary shares, the tax treatment of a partner in the partnership will generally depend upon the status of the partner and the activities of the partnership. Partnerships holding our ADSs or ordinary shares and their partners are urged to consult their tax advisors regarding an investment in our ADSs or ordinary shares.</w:t>
      </w:r>
    </w:p>
    <w:p>
      <w:pPr>
        <w:spacing w:after="0" w:line="149" w:lineRule="exact"/>
        <w:rPr>
          <w:sz w:val="20"/>
          <w:szCs w:val="20"/>
          <w:color w:val="auto"/>
        </w:rPr>
      </w:pPr>
    </w:p>
    <w:p>
      <w:pPr>
        <w:ind w:left="240" w:right="20" w:firstLine="438"/>
        <w:spacing w:after="0" w:line="262" w:lineRule="auto"/>
        <w:rPr>
          <w:sz w:val="20"/>
          <w:szCs w:val="20"/>
          <w:color w:val="auto"/>
        </w:rPr>
      </w:pPr>
      <w:r>
        <w:rPr>
          <w:rFonts w:ascii="Arial" w:cs="Arial" w:eastAsia="Arial" w:hAnsi="Arial"/>
          <w:sz w:val="18"/>
          <w:szCs w:val="18"/>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ordinary shares for ADSs will generally not be subject to U.S. federal income tax.</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80"/>
          </w:cols>
          <w:pgMar w:left="240" w:top="457"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5"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(the “asset test”).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79"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Although the law in this regard is not entirely clear, we treat our VIE (and its subsidiary) as being owned by us for U.S. federal income tax purposes because we control their management decisions and are entitled to substantially all of the economic benefits associated with them, and, as a result, we consolidate their results of operations in our consolidated U.S. GAAP financial statements. If it were determined, however, that we are not the owner of the VIE (and its subsidiary) for U.S. federal income tax purposes, we may be treated as a PFIC for the current taxable year and any subsequent taxable year.</w:t>
      </w:r>
    </w:p>
    <w:p>
      <w:pPr>
        <w:spacing w:after="0" w:line="189" w:lineRule="exact"/>
        <w:rPr>
          <w:sz w:val="20"/>
          <w:szCs w:val="20"/>
          <w:color w:val="auto"/>
        </w:rPr>
      </w:pPr>
    </w:p>
    <w:p>
      <w:pPr>
        <w:ind w:left="240" w:firstLine="438"/>
        <w:spacing w:after="0" w:line="266" w:lineRule="auto"/>
        <w:rPr>
          <w:sz w:val="20"/>
          <w:szCs w:val="20"/>
          <w:color w:val="auto"/>
        </w:rPr>
      </w:pPr>
      <w:r>
        <w:rPr>
          <w:rFonts w:ascii="Arial" w:cs="Arial" w:eastAsia="Arial" w:hAnsi="Arial"/>
          <w:sz w:val="17"/>
          <w:szCs w:val="17"/>
          <w:color w:val="auto"/>
        </w:rPr>
        <w:t>Assuming that we are the owner of the VIE (and its subsidiary) for U.S. federal income tax purposes, and based upon our current and projected income and assets, including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Because there are uncertainties in the application of the relevant rules, it is possible that the IRS may challenge our classification of certain income and assets as non-passive which may result in our being or becoming a PFIC in the current or subsequent years. Furthermore, fluctuations in the market price of our ADSs may cause us to be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w:t>
      </w:r>
    </w:p>
    <w:p>
      <w:pPr>
        <w:spacing w:after="0" w:line="188" w:lineRule="exact"/>
        <w:rPr>
          <w:sz w:val="20"/>
          <w:szCs w:val="20"/>
          <w:color w:val="auto"/>
        </w:rPr>
      </w:pPr>
    </w:p>
    <w:p>
      <w:pPr>
        <w:ind w:left="240" w:right="160" w:firstLine="438"/>
        <w:spacing w:after="0" w:line="275" w:lineRule="auto"/>
        <w:rPr>
          <w:sz w:val="20"/>
          <w:szCs w:val="20"/>
          <w:color w:val="auto"/>
        </w:rPr>
      </w:pPr>
      <w:r>
        <w:rPr>
          <w:rFonts w:ascii="Arial" w:cs="Arial" w:eastAsia="Arial" w:hAnsi="Arial"/>
          <w:sz w:val="18"/>
          <w:szCs w:val="18"/>
          <w:color w:val="auto"/>
        </w:rPr>
        <w:t>If we are a PFIC for any year during which a U.S. Holder holds our ADSs or ordinary shares, we generally will continue to be treated as a PFIC for all succeeding years during which such U.S. Holder holds our ADSs or ordinary shares.</w:t>
      </w:r>
    </w:p>
    <w:p>
      <w:pPr>
        <w:spacing w:after="0" w:line="170" w:lineRule="exact"/>
        <w:rPr>
          <w:sz w:val="20"/>
          <w:szCs w:val="20"/>
          <w:color w:val="auto"/>
        </w:rPr>
      </w:pPr>
    </w:p>
    <w:p>
      <w:pPr>
        <w:jc w:val="both"/>
        <w:ind w:left="240" w:right="20" w:firstLine="438"/>
        <w:spacing w:after="0" w:line="262" w:lineRule="auto"/>
        <w:rPr>
          <w:sz w:val="20"/>
          <w:szCs w:val="20"/>
          <w:color w:val="auto"/>
        </w:rPr>
      </w:pPr>
      <w:r>
        <w:rPr>
          <w:rFonts w:ascii="Arial" w:cs="Arial" w:eastAsia="Arial" w:hAnsi="Arial"/>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115" w:lineRule="exact"/>
        <w:rPr>
          <w:sz w:val="20"/>
          <w:szCs w:val="20"/>
          <w:color w:val="auto"/>
        </w:rPr>
      </w:pPr>
    </w:p>
    <w:p>
      <w:pPr>
        <w:ind w:left="240" w:right="240" w:firstLine="438"/>
        <w:spacing w:after="0" w:line="275" w:lineRule="auto"/>
        <w:rPr>
          <w:sz w:val="20"/>
          <w:szCs w:val="20"/>
          <w:color w:val="auto"/>
        </w:rPr>
      </w:pPr>
      <w:r>
        <w:rPr>
          <w:rFonts w:ascii="Arial" w:cs="Arial" w:eastAsia="Arial" w:hAnsi="Arial"/>
          <w:sz w:val="18"/>
          <w:szCs w:val="18"/>
          <w:color w:val="auto"/>
        </w:rPr>
        <w:t>Any cash distributions paid on our ADSs or ordinary shares (including the amount of any PRC tax withheld) out of our current or accumulated earnings and profits, as determined under U.S. federal income tax principles,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240" w:top="457"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40"/>
        <w:spacing w:after="0" w:line="255" w:lineRule="auto"/>
        <w:rPr>
          <w:sz w:val="20"/>
          <w:szCs w:val="20"/>
          <w:color w:val="auto"/>
        </w:rPr>
      </w:pPr>
      <w:r>
        <w:rPr>
          <w:rFonts w:ascii="Arial" w:cs="Arial" w:eastAsia="Arial" w:hAnsi="Arial"/>
          <w:sz w:val="18"/>
          <w:szCs w:val="18"/>
          <w:color w:val="auto"/>
        </w:rPr>
        <w:t>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 received from U.S. corporations.</w:t>
      </w:r>
    </w:p>
    <w:p>
      <w:pPr>
        <w:spacing w:after="0" w:line="189" w:lineRule="exact"/>
        <w:rPr>
          <w:sz w:val="20"/>
          <w:szCs w:val="20"/>
          <w:color w:val="auto"/>
        </w:rPr>
      </w:pPr>
    </w:p>
    <w:p>
      <w:pPr>
        <w:ind w:left="240" w:firstLine="438"/>
        <w:spacing w:after="0" w:line="267" w:lineRule="auto"/>
        <w:rPr>
          <w:sz w:val="20"/>
          <w:szCs w:val="20"/>
          <w:color w:val="auto"/>
        </w:rPr>
      </w:pPr>
      <w:r>
        <w:rPr>
          <w:rFonts w:ascii="Arial" w:cs="Arial" w:eastAsia="Arial" w:hAnsi="Arial"/>
          <w:sz w:val="17"/>
          <w:szCs w:val="17"/>
          <w:color w:val="auto"/>
        </w:rPr>
        <w:t>Individuals and other non-corporate U.S. Holders will be subject to tax on any such dividends at the lower capital gain tax rate applicable to “qualified dividend income,” provided that certain conditions are satisfied, including that (1) our ADSs or ordinary shares on which the dividends are paid are readily tradable on an established securities market in the United States, or, in the event that we are deemed to be a PRC resident enterprise under the PRC tax law, we are eligible for the benefit of the U.S.-PRC income tax treaty (the “Treaty”), (2) we are neither a PFIC nor treated as such with respect to a U.S. Holder (as discussed below) for the taxable year in which the dividend is paid and the preceding taxable year, and (3) certain holding period requirements are met. For this purpose, ADSs listed on the Nasdaq Stock Market will generally be considered to be readily tradable on an established securities market in the United States. U.S. Holders are urged to consult their tax advisors regarding the availability of the lower rate for dividends paid with respect to our ADSs or ordinary shares. In the event that we are deemed to be a PRC resident enterprise under the PRC Enterprise Income Tax Law (see “TAXATION—People’s Republic of China Taxation”), we may be eligible for the benefits of the Treaty. If we are eligible for such benefits, dividends we pay on our ordinary shares, regardless of whether such shares are represented by the ADSs, and regardless of whether our ADSs are readily tradable on an established securities market in the United States, would be eligible for the reduced rates of taxation described in the preceding paragraph.</w:t>
      </w:r>
    </w:p>
    <w:p>
      <w:pPr>
        <w:spacing w:after="0" w:line="183" w:lineRule="exact"/>
        <w:rPr>
          <w:sz w:val="20"/>
          <w:szCs w:val="20"/>
          <w:color w:val="auto"/>
        </w:rPr>
      </w:pPr>
    </w:p>
    <w:p>
      <w:pPr>
        <w:ind w:left="240" w:firstLine="438"/>
        <w:spacing w:after="0" w:line="268" w:lineRule="auto"/>
        <w:rPr>
          <w:sz w:val="20"/>
          <w:szCs w:val="20"/>
          <w:color w:val="auto"/>
        </w:rPr>
      </w:pPr>
      <w:r>
        <w:rPr>
          <w:rFonts w:ascii="Arial" w:cs="Arial" w:eastAsia="Arial" w:hAnsi="Arial"/>
          <w:sz w:val="17"/>
          <w:szCs w:val="17"/>
          <w:color w:val="auto"/>
        </w:rPr>
        <w:t>For U.S. foreign tax credit purposes, dividends paid on our ADSs or ordinary shares generally will be treated as income from foreign sources and generally will constitute passive category income. In the event that we are deemed to be a PRC resident enterprise under the PRC Enterprise Income Tax Law, a U.S. Holder may be subject to PRC withholding taxes on dividends paid on our ADSs or ordinary shares (see “TAXATION—People’s Republic of China Taxation”). Depending on the U.S. Holder’s particular facts and circumstances and subject to a number of complex conditions and limitations, PRC withholding taxes on dividends that are non-refundable under the Treaty may be treated as foreign taxes eligible for credit against a U.S. Holder’s U.S. federal income tax liability.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115" w:lineRule="exact"/>
        <w:rPr>
          <w:sz w:val="20"/>
          <w:szCs w:val="20"/>
          <w:color w:val="auto"/>
        </w:rPr>
      </w:pPr>
    </w:p>
    <w:p>
      <w:pPr>
        <w:ind w:left="240" w:firstLine="438"/>
        <w:spacing w:after="0" w:line="286" w:lineRule="auto"/>
        <w:rPr>
          <w:sz w:val="20"/>
          <w:szCs w:val="20"/>
          <w:color w:val="auto"/>
        </w:rPr>
      </w:pPr>
      <w:r>
        <w:rPr>
          <w:rFonts w:ascii="Arial" w:cs="Arial" w:eastAsia="Arial" w:hAnsi="Arial"/>
          <w:sz w:val="16"/>
          <w:szCs w:val="16"/>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The gain or loss will generally be capital gain or loss. Any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in the event we are deemed to be a PRC resident enterprise under the PRC Enterprise Income Tax Law, we may be eligible for the benefits of the Treaty. In such event, if PRC tax were to be imposed on any gain from the disposition of the ADSs or ordinary shares, a U.S. Holder that is eligible for the benefits of the Treaty may elect to treat such gain as PRC source income. If a U.S. Holder is not eligible for the benefits of the Treaty or fails to make the election to treat any gain as foreign source, then such U.S. Holder may not be able to use the foreign tax</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80"/>
          </w:cols>
          <w:pgMar w:left="240" w:top="458"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240"/>
        <w:spacing w:after="0" w:line="300" w:lineRule="auto"/>
        <w:rPr>
          <w:sz w:val="20"/>
          <w:szCs w:val="20"/>
          <w:color w:val="auto"/>
        </w:rPr>
      </w:pPr>
      <w:r>
        <w:rPr>
          <w:rFonts w:ascii="Arial" w:cs="Arial" w:eastAsia="Arial" w:hAnsi="Arial"/>
          <w:sz w:val="16"/>
          <w:szCs w:val="16"/>
          <w:color w:val="auto"/>
        </w:rPr>
        <w:t>credit arising from any PRC tax imposed on the disposition of the ADSs or ordinary shares unless such credit can be applied (subject to applicable limitations) against United States federal income tax due on other income derived from foreign sources in the same income category (generally, the passive category). Each U.S. Holder is advised to consult its tax advisor regarding the tax consequences if a foreign tax is imposed on a disposition of our ADSs or ordinary shares, including the availability of the foreign tax credit under its particular circumstances.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5" w:lineRule="exact"/>
        <w:rPr>
          <w:sz w:val="20"/>
          <w:szCs w:val="20"/>
          <w:color w:val="auto"/>
        </w:rPr>
      </w:pPr>
    </w:p>
    <w:p>
      <w:pPr>
        <w:ind w:left="240" w:right="220" w:firstLine="438"/>
        <w:spacing w:after="0" w:line="274" w:lineRule="auto"/>
        <w:rPr>
          <w:sz w:val="20"/>
          <w:szCs w:val="20"/>
          <w:color w:val="auto"/>
        </w:rPr>
      </w:pPr>
      <w:r>
        <w:rPr>
          <w:rFonts w:ascii="Arial" w:cs="Arial" w:eastAsia="Arial" w:hAnsi="Arial"/>
          <w:sz w:val="17"/>
          <w:szCs w:val="17"/>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of ADSs or ordinary shares. Under the PFIC rules:</w:t>
      </w:r>
    </w:p>
    <w:p>
      <w:pPr>
        <w:spacing w:after="0" w:line="79" w:lineRule="exact"/>
        <w:rPr>
          <w:sz w:val="20"/>
          <w:szCs w:val="20"/>
          <w:color w:val="auto"/>
        </w:rPr>
      </w:pPr>
    </w:p>
    <w:p>
      <w:pPr>
        <w:ind w:left="1100" w:hanging="327"/>
        <w:spacing w:after="0"/>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ordinary shares;</w:t>
      </w:r>
    </w:p>
    <w:p>
      <w:pPr>
        <w:spacing w:after="0" w:line="128" w:lineRule="exact"/>
        <w:rPr>
          <w:rFonts w:ascii="Arial" w:cs="Arial" w:eastAsia="Arial" w:hAnsi="Arial"/>
          <w:sz w:val="18"/>
          <w:szCs w:val="18"/>
          <w:color w:val="auto"/>
        </w:rPr>
      </w:pPr>
    </w:p>
    <w:p>
      <w:pPr>
        <w:ind w:left="1100" w:right="260" w:hanging="327"/>
        <w:spacing w:after="0" w:line="275" w:lineRule="auto"/>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76" w:lineRule="exact"/>
        <w:rPr>
          <w:rFonts w:ascii="Arial" w:cs="Arial" w:eastAsia="Arial" w:hAnsi="Arial"/>
          <w:sz w:val="18"/>
          <w:szCs w:val="18"/>
          <w:color w:val="auto"/>
        </w:rPr>
      </w:pPr>
    </w:p>
    <w:p>
      <w:pPr>
        <w:ind w:left="1100" w:right="420" w:hanging="327"/>
        <w:spacing w:after="0" w:line="262" w:lineRule="auto"/>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81"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color w:val="auto"/>
        </w:rPr>
        <w:t>If we are a PFIC for any taxable year during which a U.S. Holder holds our ADSs or ordinary shares and any of our subsidiaries, our VIE or the subsidiary of our VIE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VIE or any of the subsidiary of our VIE.</w:t>
      </w:r>
    </w:p>
    <w:p>
      <w:pPr>
        <w:spacing w:after="0" w:line="188" w:lineRule="exact"/>
        <w:rPr>
          <w:sz w:val="20"/>
          <w:szCs w:val="20"/>
          <w:color w:val="auto"/>
        </w:rPr>
      </w:pPr>
    </w:p>
    <w:p>
      <w:pPr>
        <w:ind w:left="240" w:right="20" w:firstLine="438"/>
        <w:spacing w:after="0" w:line="267" w:lineRule="auto"/>
        <w:rPr>
          <w:sz w:val="20"/>
          <w:szCs w:val="20"/>
          <w:color w:val="auto"/>
        </w:rPr>
      </w:pPr>
      <w:r>
        <w:rPr>
          <w:rFonts w:ascii="Arial" w:cs="Arial" w:eastAsia="Arial" w:hAnsi="Arial"/>
          <w:sz w:val="17"/>
          <w:szCs w:val="17"/>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86" w:lineRule="exact"/>
        <w:rPr>
          <w:sz w:val="20"/>
          <w:szCs w:val="20"/>
          <w:color w:val="auto"/>
        </w:rPr>
      </w:pPr>
    </w:p>
    <w:p>
      <w:pPr>
        <w:ind w:left="240" w:right="440" w:firstLine="438"/>
        <w:spacing w:after="0" w:line="275" w:lineRule="auto"/>
        <w:rPr>
          <w:sz w:val="20"/>
          <w:szCs w:val="20"/>
          <w:color w:val="auto"/>
        </w:rPr>
      </w:pPr>
      <w:r>
        <w:rPr>
          <w:rFonts w:ascii="Arial" w:cs="Arial" w:eastAsia="Arial" w:hAnsi="Arial"/>
          <w:sz w:val="18"/>
          <w:szCs w:val="18"/>
          <w:color w:val="auto"/>
        </w:rPr>
        <w:t>The mark-to-market election is available only for “marketable stock,” which is stock that is regularly traded on a qualified exchange or other market, as defined in applicable United States Treasury regulations. Our ADSs,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00"/>
          </w:cols>
          <w:pgMar w:left="240" w:top="458"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0"/>
        <w:spacing w:after="0" w:line="275" w:lineRule="auto"/>
        <w:rPr>
          <w:sz w:val="20"/>
          <w:szCs w:val="20"/>
          <w:color w:val="auto"/>
        </w:rPr>
      </w:pPr>
      <w:r>
        <w:rPr>
          <w:rFonts w:ascii="Arial" w:cs="Arial" w:eastAsia="Arial" w:hAnsi="Arial"/>
          <w:sz w:val="18"/>
          <w:szCs w:val="18"/>
          <w:color w:val="auto"/>
        </w:rPr>
        <w:t>but not our ordinary shares, will be treated as traded on a qualified exchange or other market upon their listing on the Nasdaq Global Select Market. We anticipate that our ADSs should qualify as being regularly traded, but no assurances may be given in this regard.</w:t>
      </w:r>
    </w:p>
    <w:p>
      <w:pPr>
        <w:spacing w:after="0" w:line="170"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81" w:lineRule="exact"/>
        <w:rPr>
          <w:sz w:val="20"/>
          <w:szCs w:val="20"/>
          <w:color w:val="auto"/>
        </w:rPr>
      </w:pPr>
    </w:p>
    <w:p>
      <w:pPr>
        <w:ind w:left="240" w:right="120" w:firstLine="438"/>
        <w:spacing w:after="0" w:line="275"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70" w:lineRule="exact"/>
        <w:rPr>
          <w:sz w:val="20"/>
          <w:szCs w:val="20"/>
          <w:color w:val="auto"/>
        </w:rPr>
      </w:pPr>
    </w:p>
    <w:p>
      <w:pPr>
        <w:jc w:val="both"/>
        <w:ind w:left="240" w:firstLine="438"/>
        <w:spacing w:after="0" w:line="262" w:lineRule="auto"/>
        <w:rPr>
          <w:sz w:val="20"/>
          <w:szCs w:val="20"/>
          <w:color w:val="auto"/>
        </w:rPr>
      </w:pPr>
      <w:r>
        <w:rPr>
          <w:rFonts w:ascii="Arial" w:cs="Arial" w:eastAsia="Arial" w:hAnsi="Arial"/>
          <w:sz w:val="18"/>
          <w:szCs w:val="18"/>
          <w:color w:val="auto"/>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240" w:top="457"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UNDERWRITING</w:t>
      </w:r>
    </w:p>
    <w:p>
      <w:pPr>
        <w:spacing w:after="0" w:line="227" w:lineRule="exact"/>
        <w:rPr>
          <w:sz w:val="20"/>
          <w:szCs w:val="20"/>
          <w:color w:val="auto"/>
        </w:rPr>
      </w:pPr>
    </w:p>
    <w:p>
      <w:pPr>
        <w:ind w:left="240" w:right="140" w:firstLine="438"/>
        <w:spacing w:after="0" w:line="257" w:lineRule="auto"/>
        <w:rPr>
          <w:sz w:val="20"/>
          <w:szCs w:val="20"/>
          <w:color w:val="auto"/>
        </w:rPr>
      </w:pPr>
      <w:r>
        <w:rPr>
          <w:rFonts w:ascii="Arial" w:cs="Arial" w:eastAsia="Arial" w:hAnsi="Arial"/>
          <w:sz w:val="18"/>
          <w:szCs w:val="18"/>
          <w:color w:val="auto"/>
        </w:rPr>
        <w:t>We[, the selling shareholders] and the underwriters named below have entered into an underwriting agreement with respect to the ADSs being offered. Under the terms and subject to certain conditions in the underwriting agreement, each underwriter has severally agreed to purchase, and we have agreed to sell to them, severally, the number of ADSs indicated in the following table. Goldman Sachs (Asia) L.L.C. and UBS Securities LLC are acting as representatives of the underwriters.</w:t>
      </w:r>
    </w:p>
    <w:p>
      <w:pPr>
        <w:spacing w:after="0" w:line="193"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2"/>
              </w:rPr>
              <w:t>Underwriters</w:t>
            </w:r>
          </w:p>
        </w:tc>
        <w:tc>
          <w:tcPr>
            <w:tcW w:w="6540" w:type="dxa"/>
            <w:vAlign w:val="bottom"/>
          </w:tcPr>
          <w:p>
            <w:pPr>
              <w:jc w:val="center"/>
              <w:ind w:left="58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2"/>
        </w:trPr>
        <w:tc>
          <w:tcPr>
            <w:tcW w:w="820" w:type="dxa"/>
            <w:vAlign w:val="bottom"/>
            <w:tcBorders>
              <w:bottom w:val="single" w:sz="8" w:color="auto"/>
            </w:tcBorders>
            <w:vMerge w:val="continue"/>
          </w:tcPr>
          <w:p>
            <w:pPr>
              <w:spacing w:after="0"/>
              <w:rPr>
                <w:sz w:val="13"/>
                <w:szCs w:val="13"/>
                <w:color w:val="auto"/>
              </w:rPr>
            </w:pPr>
          </w:p>
        </w:tc>
        <w:tc>
          <w:tcPr>
            <w:tcW w:w="6540" w:type="dxa"/>
            <w:vAlign w:val="bottom"/>
          </w:tcPr>
          <w:p>
            <w:pPr>
              <w:jc w:val="center"/>
              <w:ind w:left="5808"/>
              <w:spacing w:after="0" w:line="157" w:lineRule="exact"/>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0</wp:posOffset>
            </wp:positionV>
            <wp:extent cx="4723765" cy="1365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23765" cy="136525"/>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8"/>
          <w:szCs w:val="18"/>
          <w:color w:val="auto"/>
        </w:rPr>
        <w:t>Goldman Sachs (Asia) L.L.C.</w:t>
      </w:r>
    </w:p>
    <w:p>
      <w:pPr>
        <w:spacing w:after="0" w:line="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5080</wp:posOffset>
            </wp:positionV>
            <wp:extent cx="4723765" cy="1365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23765" cy="136525"/>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5080</wp:posOffset>
            </wp:positionV>
            <wp:extent cx="4521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2120" cy="825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21590</wp:posOffset>
            </wp:positionV>
            <wp:extent cx="4521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242" w:lineRule="exact"/>
        <w:rPr>
          <w:sz w:val="20"/>
          <w:szCs w:val="20"/>
          <w:color w:val="auto"/>
        </w:rPr>
      </w:pPr>
    </w:p>
    <w:p>
      <w:pPr>
        <w:jc w:val="both"/>
        <w:ind w:left="240" w:right="40" w:firstLine="438"/>
        <w:spacing w:after="0" w:line="284" w:lineRule="auto"/>
        <w:rPr>
          <w:sz w:val="20"/>
          <w:szCs w:val="20"/>
          <w:color w:val="auto"/>
        </w:rPr>
      </w:pPr>
      <w:r>
        <w:rPr>
          <w:rFonts w:ascii="Arial" w:cs="Arial" w:eastAsia="Arial" w:hAnsi="Arial"/>
          <w:sz w:val="17"/>
          <w:szCs w:val="17"/>
          <w:color w:val="auto"/>
        </w:rPr>
        <w:t>The underwriters are committed to, severally but not jointly, take and pay for all of the ADSs being offered, if any are taken, other than the ADSs covered by the option described below unless and until this option is exercised.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color w:val="auto"/>
        </w:rPr>
        <w:t>The underwriters have an option to purchase up to an additional ADSs from us [and an additional ADSs from the selling shareholders] to cover sales by the underwriters of a greater number of ADSs than the total number set forth in the table above. They may exercise that option for 30 days from the date of this prospectus. If any ADSs are purchased pursuant to this option, the underwriters will severally purchase ADSs in approximately the same proportion as set forth in the table above.</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shows the per ADS and total underwriting discounts and commissions to be paid to the underwriters by us [and the selling</w:t>
      </w:r>
    </w:p>
    <w:p>
      <w:pPr>
        <w:spacing w:after="0" w:line="45" w:lineRule="exact"/>
        <w:rPr>
          <w:sz w:val="20"/>
          <w:szCs w:val="20"/>
          <w:color w:val="auto"/>
        </w:rPr>
      </w:pPr>
    </w:p>
    <w:p>
      <w:pPr>
        <w:ind w:left="240"/>
        <w:spacing w:after="0" w:line="258" w:lineRule="auto"/>
        <w:rPr>
          <w:sz w:val="20"/>
          <w:szCs w:val="20"/>
          <w:color w:val="auto"/>
        </w:rPr>
      </w:pPr>
      <w:r>
        <w:rPr>
          <w:rFonts w:ascii="Arial" w:cs="Arial" w:eastAsia="Arial" w:hAnsi="Arial"/>
          <w:sz w:val="18"/>
          <w:szCs w:val="18"/>
          <w:color w:val="auto"/>
        </w:rPr>
        <w:t>shareholders]. Such amounts are shown assuming both no exercise and full exercise of the underwriters’ option to purchase up to additional ADSs.</w:t>
      </w:r>
    </w:p>
    <w:p>
      <w:pPr>
        <w:spacing w:after="0" w:line="203" w:lineRule="exact"/>
        <w:rPr>
          <w:sz w:val="20"/>
          <w:szCs w:val="20"/>
          <w:color w:val="auto"/>
        </w:rPr>
      </w:pPr>
    </w:p>
    <w:tbl>
      <w:tblPr>
        <w:tblLayout w:type="fixed"/>
        <w:tblInd w:w="1560" w:type="dxa"/>
        <w:tblCellMar>
          <w:top w:w="0" w:type="dxa"/>
          <w:left w:w="0" w:type="dxa"/>
          <w:bottom w:w="0" w:type="dxa"/>
          <w:right w:w="0" w:type="dxa"/>
        </w:tblCellMar>
      </w:tblPr>
      <w:tr>
        <w:trPr>
          <w:trHeight w:val="190"/>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Paid by Us</w:t>
            </w:r>
          </w:p>
        </w:tc>
        <w:tc>
          <w:tcPr>
            <w:tcW w:w="4760" w:type="dxa"/>
            <w:vAlign w:val="bottom"/>
            <w:gridSpan w:val="2"/>
          </w:tcPr>
          <w:p>
            <w:pPr>
              <w:spacing w:after="0"/>
              <w:rPr>
                <w:sz w:val="16"/>
                <w:szCs w:val="16"/>
                <w:color w:val="auto"/>
              </w:rPr>
            </w:pP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w w:val="99"/>
              </w:rPr>
              <w:t>No Exercise</w:t>
            </w:r>
          </w:p>
        </w:tc>
        <w:tc>
          <w:tcPr>
            <w:tcW w:w="100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Full Exercise</w:t>
            </w:r>
          </w:p>
        </w:tc>
      </w:tr>
      <w:tr>
        <w:trPr>
          <w:trHeight w:val="202"/>
        </w:trPr>
        <w:tc>
          <w:tcPr>
            <w:tcW w:w="5420" w:type="dxa"/>
            <w:vAlign w:val="bottom"/>
            <w:tcBorders>
              <w:top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Per ADS</w:t>
            </w:r>
          </w:p>
        </w:tc>
        <w:tc>
          <w:tcPr>
            <w:tcW w:w="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1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7"/>
                <w:szCs w:val="17"/>
                <w:color w:val="auto"/>
              </w:rPr>
            </w:pPr>
          </w:p>
        </w:tc>
      </w:tr>
      <w:tr>
        <w:trPr>
          <w:trHeight w:val="229"/>
        </w:trPr>
        <w:tc>
          <w:tcPr>
            <w:tcW w:w="5420" w:type="dxa"/>
            <w:vAlign w:val="bottom"/>
            <w:gridSpan w:val="3"/>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0"/>
                <w:szCs w:val="20"/>
                <w:color w:val="auto"/>
              </w:rPr>
            </w:pPr>
            <w:r>
              <w:rPr>
                <w:rFonts w:ascii="Arial" w:cs="Arial" w:eastAsia="Arial" w:hAnsi="Arial"/>
                <w:sz w:val="18"/>
                <w:szCs w:val="18"/>
                <w:color w:val="auto"/>
              </w:rPr>
              <w:t>US$</w:t>
            </w:r>
          </w:p>
        </w:tc>
        <w:tc>
          <w:tcPr>
            <w:tcW w:w="1980" w:type="dxa"/>
            <w:vAlign w:val="bottom"/>
            <w:gridSpan w:val="3"/>
          </w:tcPr>
          <w:p>
            <w:pPr>
              <w:ind w:left="1000"/>
              <w:spacing w:after="0"/>
              <w:rPr>
                <w:sz w:val="20"/>
                <w:szCs w:val="20"/>
                <w:color w:val="auto"/>
              </w:rPr>
            </w:pPr>
            <w:r>
              <w:rPr>
                <w:rFonts w:ascii="Arial" w:cs="Arial" w:eastAsia="Arial" w:hAnsi="Arial"/>
                <w:sz w:val="18"/>
                <w:szCs w:val="18"/>
                <w:color w:val="auto"/>
              </w:rPr>
              <w:t>US$</w:t>
            </w:r>
          </w:p>
        </w:tc>
      </w:tr>
      <w:tr>
        <w:trPr>
          <w:trHeight w:val="200"/>
        </w:trPr>
        <w:tc>
          <w:tcPr>
            <w:tcW w:w="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4"/>
        </w:trPr>
        <w:tc>
          <w:tcPr>
            <w:tcW w:w="54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[Paid by the Selling Shareholders]</w:t>
            </w:r>
          </w:p>
        </w:tc>
        <w:tc>
          <w:tcPr>
            <w:tcW w:w="9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61"/>
        </w:trPr>
        <w:tc>
          <w:tcPr>
            <w:tcW w:w="660" w:type="dxa"/>
            <w:vAlign w:val="bottom"/>
            <w:tcBorders>
              <w:top w:val="single" w:sz="8" w:color="auto"/>
            </w:tcBorders>
            <w:shd w:val="clear" w:color="auto" w:fill="CCEEFF"/>
          </w:tcPr>
          <w:p>
            <w:pPr>
              <w:spacing w:after="0"/>
              <w:rPr>
                <w:sz w:val="5"/>
                <w:szCs w:val="5"/>
                <w:color w:val="auto"/>
              </w:rPr>
            </w:pPr>
          </w:p>
        </w:tc>
        <w:tc>
          <w:tcPr>
            <w:tcW w:w="142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15"/>
        </w:trPr>
        <w:tc>
          <w:tcPr>
            <w:tcW w:w="5420" w:type="dxa"/>
            <w:vAlign w:val="bottom"/>
            <w:gridSpan w:val="3"/>
          </w:tcPr>
          <w:p>
            <w:pPr>
              <w:spacing w:after="0"/>
              <w:rPr>
                <w:sz w:val="20"/>
                <w:szCs w:val="20"/>
                <w:color w:val="auto"/>
              </w:rPr>
            </w:pPr>
            <w:r>
              <w:rPr>
                <w:rFonts w:ascii="Arial" w:cs="Arial" w:eastAsia="Arial" w:hAnsi="Arial"/>
                <w:sz w:val="18"/>
                <w:szCs w:val="18"/>
                <w:color w:val="auto"/>
              </w:rPr>
              <w:t>Per ADS</w:t>
            </w:r>
          </w:p>
        </w:tc>
        <w:tc>
          <w:tcPr>
            <w:tcW w:w="920" w:type="dxa"/>
            <w:vAlign w:val="bottom"/>
          </w:tcPr>
          <w:p>
            <w:pPr>
              <w:spacing w:after="0"/>
              <w:rPr>
                <w:sz w:val="20"/>
                <w:szCs w:val="20"/>
                <w:color w:val="auto"/>
              </w:rPr>
            </w:pPr>
            <w:r>
              <w:rPr>
                <w:rFonts w:ascii="Arial" w:cs="Arial" w:eastAsia="Arial" w:hAnsi="Arial"/>
                <w:sz w:val="18"/>
                <w:szCs w:val="18"/>
                <w:color w:val="auto"/>
              </w:rPr>
              <w:t>US$</w:t>
            </w:r>
          </w:p>
        </w:tc>
        <w:tc>
          <w:tcPr>
            <w:tcW w:w="1980" w:type="dxa"/>
            <w:vAlign w:val="bottom"/>
            <w:gridSpan w:val="3"/>
          </w:tcPr>
          <w:p>
            <w:pPr>
              <w:ind w:left="1000"/>
              <w:spacing w:after="0"/>
              <w:rPr>
                <w:sz w:val="20"/>
                <w:szCs w:val="20"/>
                <w:color w:val="auto"/>
              </w:rPr>
            </w:pPr>
            <w:r>
              <w:rPr>
                <w:rFonts w:ascii="Arial" w:cs="Arial" w:eastAsia="Arial" w:hAnsi="Arial"/>
                <w:sz w:val="18"/>
                <w:szCs w:val="18"/>
                <w:color w:val="auto"/>
              </w:rPr>
              <w:t>US$</w:t>
            </w:r>
          </w:p>
        </w:tc>
      </w:tr>
      <w:tr>
        <w:trPr>
          <w:trHeight w:val="215"/>
        </w:trPr>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98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US$</w:t>
            </w:r>
          </w:p>
        </w:tc>
      </w:tr>
    </w:tbl>
    <w:p>
      <w:pPr>
        <w:spacing w:after="0" w:line="20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ADSs sold by the underwriters to the public will initially be offered at the initial public offering price set forth on the cover of this prospectus.</w:t>
      </w:r>
    </w:p>
    <w:p>
      <w:pPr>
        <w:spacing w:after="0" w:line="34" w:lineRule="exact"/>
        <w:rPr>
          <w:sz w:val="20"/>
          <w:szCs w:val="20"/>
          <w:color w:val="auto"/>
        </w:rPr>
      </w:pPr>
    </w:p>
    <w:p>
      <w:pPr>
        <w:ind w:left="240" w:right="40"/>
        <w:spacing w:after="0" w:line="251" w:lineRule="auto"/>
        <w:rPr>
          <w:sz w:val="20"/>
          <w:szCs w:val="20"/>
          <w:color w:val="auto"/>
        </w:rPr>
      </w:pPr>
      <w:r>
        <w:rPr>
          <w:rFonts w:ascii="Arial" w:cs="Arial" w:eastAsia="Arial" w:hAnsi="Arial"/>
          <w:sz w:val="18"/>
          <w:szCs w:val="18"/>
          <w:color w:val="auto"/>
        </w:rPr>
        <w:t>Any ADSs sold by the underwriters to securities dealers may be sold at a discount of up to US$ per ADS from the initial public offering price. After the initial offering of the ADSs, the representatives may change the offering price and the other selling terms. The offering of the ADSs by the underwriters is subject to their receipt and acceptance and subject to the underwriters’ right to reject any order in whole or in part. The underwriting agreement provides that the obligations of the several underwriters to pay for and accept delivery of the ADSs offered by this prospectus are subject to the approval of certain legal matters by their counsel and to certain other conditions.</w:t>
      </w:r>
    </w:p>
    <w:p>
      <w:pPr>
        <w:spacing w:after="0" w:line="19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Some of the underwriters are expected to make offers and sales both inside and outside the United States through their respective selling agents.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Any offers or sales in the United States will be conducted by broker-dealers registered with the SEC.</w:t>
      </w:r>
    </w:p>
    <w:p>
      <w:pPr>
        <w:spacing w:after="0" w:line="208" w:lineRule="exact"/>
        <w:rPr>
          <w:sz w:val="20"/>
          <w:szCs w:val="20"/>
          <w:color w:val="auto"/>
        </w:rPr>
      </w:pPr>
    </w:p>
    <w:p>
      <w:pPr>
        <w:ind w:left="240" w:right="160" w:firstLine="438"/>
        <w:spacing w:after="0" w:line="262" w:lineRule="auto"/>
        <w:rPr>
          <w:sz w:val="20"/>
          <w:szCs w:val="20"/>
          <w:color w:val="auto"/>
        </w:rPr>
      </w:pPr>
      <w:r>
        <w:rPr>
          <w:rFonts w:ascii="Arial" w:cs="Arial" w:eastAsia="Arial" w:hAnsi="Arial"/>
          <w:sz w:val="18"/>
          <w:szCs w:val="18"/>
          <w:color w:val="auto"/>
        </w:rPr>
        <w:t>Goldman Sachs (Asia) L.L.C. will offer ADSs in the United States through its SEC-registered broker-dealer affiliate in the United States, Goldman Sachs &amp; Co. LLC. The address of Goldman Sachs (Asia) L.L.C. is 68th Floor, Cheung Kong Center, 2 Queen’s Road Central, Central, Hong Kong. The address of UBS Securities LLC is 1285 Avenue of the Americas, New York, NY 10019, U.S.A.</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80"/>
          </w:cols>
          <w:pgMar w:left="240" w:top="458"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firstLine="438"/>
        <w:spacing w:after="0" w:line="277" w:lineRule="auto"/>
        <w:rPr>
          <w:sz w:val="20"/>
          <w:szCs w:val="20"/>
          <w:color w:val="auto"/>
        </w:rPr>
      </w:pPr>
      <w:r>
        <w:rPr>
          <w:rFonts w:ascii="Arial" w:cs="Arial" w:eastAsia="Arial" w:hAnsi="Arial"/>
          <w:sz w:val="17"/>
          <w:szCs w:val="17"/>
          <w:color w:val="auto"/>
        </w:rPr>
        <w:t>We and our officers, directors and all of our existing shareholders have agreed with the underwriters, subject to certain exceptions, to certain lock-up restrictions in respect of our ordinary shares, the ADSs or securities convertible into or exchangeable for our ordinary shares or the ADSs during the period from the date of this prospectus continuing through the date 180 days after the date of this prospectus, except with the prior written consent of the representatives. See “Shares Eligible for Future Sale” for a discussion of certain transfer restrictions.]</w:t>
      </w:r>
    </w:p>
    <w:p>
      <w:pPr>
        <w:spacing w:after="0" w:line="172" w:lineRule="exact"/>
        <w:rPr>
          <w:sz w:val="20"/>
          <w:szCs w:val="20"/>
          <w:color w:val="auto"/>
        </w:rPr>
      </w:pPr>
    </w:p>
    <w:p>
      <w:pPr>
        <w:jc w:val="both"/>
        <w:ind w:left="240" w:right="200" w:firstLine="438"/>
        <w:spacing w:after="0" w:line="300" w:lineRule="auto"/>
        <w:rPr>
          <w:sz w:val="20"/>
          <w:szCs w:val="20"/>
          <w:color w:val="auto"/>
        </w:rPr>
      </w:pPr>
      <w:r>
        <w:rPr>
          <w:rFonts w:ascii="Arial" w:cs="Arial" w:eastAsia="Arial" w:hAnsi="Arial"/>
          <w:sz w:val="16"/>
          <w:szCs w:val="16"/>
          <w:color w:val="auto"/>
        </w:rPr>
        <w:t>Prior to the offering, there has been no public market for our ordinary shares or the ADSs. The initial public offering price has been negotiated among us and the representatives. Among the factors considered in determining the initial public offering price of the ADSs, in addition to prevailing market conditions, were our historical performance, estimates of our business potential and earnings prospects, an assessment of our management and the consideration of the above factors in relation to the market valuation of companies in related businesses.</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 application [has been made] to list the ADSs on the Nasdaq Global Market under the symbol “FHL.”</w:t>
      </w:r>
    </w:p>
    <w:p>
      <w:pPr>
        <w:spacing w:after="0" w:line="223" w:lineRule="exact"/>
        <w:rPr>
          <w:sz w:val="20"/>
          <w:szCs w:val="20"/>
          <w:color w:val="auto"/>
        </w:rPr>
      </w:pPr>
    </w:p>
    <w:p>
      <w:pPr>
        <w:ind w:left="240" w:firstLine="438"/>
        <w:spacing w:after="0" w:line="285" w:lineRule="auto"/>
        <w:rPr>
          <w:sz w:val="20"/>
          <w:szCs w:val="20"/>
          <w:color w:val="auto"/>
        </w:rPr>
      </w:pPr>
      <w:r>
        <w:rPr>
          <w:rFonts w:ascii="Arial" w:cs="Arial" w:eastAsia="Arial" w:hAnsi="Arial"/>
          <w:sz w:val="16"/>
          <w:szCs w:val="16"/>
          <w:color w:val="auto"/>
        </w:rPr>
        <w:t>In connection with the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the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 a short position greater than the amount of additional ADSs for which the option described above may be exercised. 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171"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181" w:lineRule="exact"/>
        <w:rPr>
          <w:sz w:val="20"/>
          <w:szCs w:val="20"/>
          <w:color w:val="auto"/>
        </w:rPr>
      </w:pPr>
    </w:p>
    <w:p>
      <w:pPr>
        <w:ind w:left="240" w:right="100" w:firstLine="438"/>
        <w:spacing w:after="0" w:line="274"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the ADSs, and together with the imposition of the penalty bid, may stabilize, maintain or otherwise affect the market price of the ADSs. As a result, the price of the ADSs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ectPr>
          <w:pgSz w:w="11900" w:h="16838" w:orient="portrait"/>
          <w:cols w:equalWidth="0" w:num="1">
            <w:col w:w="11180"/>
          </w:cols>
          <w:pgMar w:left="240" w:top="458" w:right="479" w:bottom="1440" w:gutter="0" w:footer="0" w:header="0"/>
        </w:sectPr>
      </w:pPr>
    </w:p>
    <w:p>
      <w:pPr>
        <w:spacing w:after="0" w:line="38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the total expenses of the offering payable by us, excluding underwriting discounts and commissions, will be approximately</w:t>
      </w:r>
    </w:p>
    <w:p>
      <w:pPr>
        <w:spacing w:after="0" w:line="45" w:lineRule="exact"/>
        <w:rPr>
          <w:sz w:val="20"/>
          <w:szCs w:val="20"/>
          <w:color w:val="auto"/>
        </w:rPr>
      </w:pPr>
    </w:p>
    <w:p>
      <w:pPr>
        <w:ind w:left="580"/>
        <w:spacing w:after="0"/>
        <w:tabs>
          <w:tab w:leader="none" w:pos="8520" w:val="left"/>
        </w:tabs>
        <w:rPr>
          <w:sz w:val="20"/>
          <w:szCs w:val="20"/>
          <w:color w:val="auto"/>
        </w:rPr>
      </w:pPr>
      <w:r>
        <w:rPr>
          <w:rFonts w:ascii="Arial" w:cs="Arial" w:eastAsia="Arial" w:hAnsi="Arial"/>
          <w:sz w:val="17"/>
          <w:szCs w:val="17"/>
          <w:color w:val="auto"/>
        </w:rPr>
        <w:t>. [We have agreed to reimburse the underwriters for certain of their expenses in an amount up to US$</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60" w:space="120"/>
            <w:col w:w="10500"/>
          </w:cols>
          <w:pgMar w:left="240" w:top="458" w:right="479" w:bottom="1440" w:gutter="0" w:footer="0" w:header="0"/>
          <w:type w:val="continuous"/>
        </w:sectPr>
      </w:pPr>
    </w:p>
    <w:p>
      <w:pPr>
        <w:spacing w:after="0" w:line="20" w:lineRule="exact"/>
        <w:rPr>
          <w:sz w:val="20"/>
          <w:szCs w:val="20"/>
          <w:color w:val="auto"/>
        </w:rPr>
      </w:pPr>
    </w:p>
    <w:p>
      <w:pPr>
        <w:ind w:left="240" w:right="500" w:firstLine="438"/>
        <w:spacing w:after="0" w:line="275" w:lineRule="auto"/>
        <w:rPr>
          <w:sz w:val="20"/>
          <w:szCs w:val="20"/>
          <w:color w:val="auto"/>
        </w:rPr>
      </w:pPr>
      <w:r>
        <w:rPr>
          <w:rFonts w:ascii="Arial" w:cs="Arial" w:eastAsia="Arial" w:hAnsi="Arial"/>
          <w:sz w:val="18"/>
          <w:szCs w:val="18"/>
          <w:color w:val="auto"/>
        </w:rPr>
        <w:t>We [and the selling shareholders] have agreed to indemnify the several underwriters against certain liabilities, including liabilities under the Securities Act of 1933.</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80"/>
          </w:cols>
          <w:pgMar w:left="240" w:top="458" w:right="47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underwriters have informed us that they do not intend sales to discretionary accounts to exceed 5% of the total number of ADSs offered by</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them.</w:t>
      </w:r>
    </w:p>
    <w:p>
      <w:pPr>
        <w:spacing w:after="0" w:line="208" w:lineRule="exact"/>
        <w:rPr>
          <w:sz w:val="20"/>
          <w:szCs w:val="20"/>
          <w:color w:val="auto"/>
        </w:rPr>
      </w:pPr>
    </w:p>
    <w:p>
      <w:pPr>
        <w:ind w:left="240" w:right="20" w:firstLine="438"/>
        <w:spacing w:after="0" w:line="292" w:lineRule="auto"/>
        <w:rPr>
          <w:sz w:val="20"/>
          <w:szCs w:val="20"/>
          <w:color w:val="auto"/>
        </w:rPr>
      </w:pPr>
      <w:r>
        <w:rPr>
          <w:rFonts w:ascii="Arial" w:cs="Arial" w:eastAsia="Arial" w:hAnsi="Arial"/>
          <w:sz w:val="16"/>
          <w:szCs w:val="16"/>
          <w:color w:val="auto"/>
        </w:rPr>
        <w:t>A prospectus in electronic format will be made available on the websites maintained by one or more of the underwriters or one or more securities dealers. One or more of the underwriters may distribute prospectuses electronically. The underwriters may agree to allocate a number of ADSs for sale to their online brokerage account holders. ADSs to be sold pursuant to an internet distribution will be allocated on the same basis as other allocations. In addition, ADSs may be sold by the underwriters to securities dealers who resell ADSs to online brokerage account holders.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61"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89" w:lineRule="exact"/>
        <w:rPr>
          <w:sz w:val="20"/>
          <w:szCs w:val="20"/>
          <w:color w:val="auto"/>
        </w:rPr>
      </w:pPr>
    </w:p>
    <w:p>
      <w:pPr>
        <w:ind w:left="240" w:right="60" w:firstLine="438"/>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[Directed Share Program</w:t>
      </w:r>
    </w:p>
    <w:p>
      <w:pPr>
        <w:spacing w:after="0" w:line="119" w:lineRule="exact"/>
        <w:rPr>
          <w:sz w:val="20"/>
          <w:szCs w:val="20"/>
          <w:color w:val="auto"/>
        </w:rPr>
      </w:pPr>
    </w:p>
    <w:p>
      <w:pPr>
        <w:ind w:left="680"/>
        <w:spacing w:after="0"/>
        <w:tabs>
          <w:tab w:leader="none" w:pos="4960" w:val="left"/>
        </w:tabs>
        <w:rPr>
          <w:sz w:val="20"/>
          <w:szCs w:val="20"/>
          <w:color w:val="auto"/>
        </w:rPr>
      </w:pPr>
      <w:r>
        <w:rPr>
          <w:rFonts w:ascii="Arial" w:cs="Arial" w:eastAsia="Arial" w:hAnsi="Arial"/>
          <w:sz w:val="18"/>
          <w:szCs w:val="18"/>
          <w:color w:val="auto"/>
        </w:rPr>
        <w:t>At our request, the underwriters have reserved up to</w:t>
      </w:r>
      <w:r>
        <w:rPr>
          <w:sz w:val="20"/>
          <w:szCs w:val="20"/>
          <w:color w:val="auto"/>
        </w:rPr>
        <w:tab/>
      </w:r>
      <w:r>
        <w:rPr>
          <w:rFonts w:ascii="Arial" w:cs="Arial" w:eastAsia="Arial" w:hAnsi="Arial"/>
          <w:sz w:val="16"/>
          <w:szCs w:val="16"/>
          <w:color w:val="auto"/>
        </w:rPr>
        <w:t>% of the ADSs offered by this prospectus (assuming exercise in full by the</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underwriters of their option to purchase additional ADSs) for sale, at the initial public offering price, to our directors, officers, employees and other</w:t>
      </w:r>
    </w:p>
    <w:p>
      <w:pPr>
        <w:spacing w:after="0" w:line="19" w:lineRule="exact"/>
        <w:rPr>
          <w:sz w:val="20"/>
          <w:szCs w:val="20"/>
          <w:color w:val="auto"/>
        </w:rPr>
      </w:pPr>
    </w:p>
    <w:p>
      <w:pPr>
        <w:ind w:left="240" w:right="40"/>
        <w:spacing w:after="0" w:line="252" w:lineRule="auto"/>
        <w:rPr>
          <w:sz w:val="20"/>
          <w:szCs w:val="20"/>
          <w:color w:val="auto"/>
        </w:rPr>
      </w:pPr>
      <w:r>
        <w:rPr>
          <w:rFonts w:ascii="Arial" w:cs="Arial" w:eastAsia="Arial" w:hAnsi="Arial"/>
          <w:sz w:val="18"/>
          <w:szCs w:val="18"/>
          <w:color w:val="auto"/>
        </w:rPr>
        <w:t>individuals associated with us and members of their families. The sales will be made by through a directed share program. We do not know if these persons will choose to purchase all or any portion of these reserved ADSs, but any purchases they do make will reduce the number of ADSs available to the general public. Any reserved ADSs that are not so purchased will be offered by the underwriters to the general public on the same terms as the other ADSs offered by this prospectus.]</w:t>
      </w:r>
    </w:p>
    <w:p>
      <w:pPr>
        <w:spacing w:after="0" w:line="2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Selling Restrictions</w:t>
      </w:r>
    </w:p>
    <w:p>
      <w:pPr>
        <w:spacing w:after="0" w:line="119" w:lineRule="exact"/>
        <w:rPr>
          <w:sz w:val="20"/>
          <w:szCs w:val="20"/>
          <w:color w:val="auto"/>
        </w:rPr>
      </w:pPr>
    </w:p>
    <w:p>
      <w:pPr>
        <w:ind w:left="240" w:right="60" w:firstLine="438"/>
        <w:spacing w:after="0" w:line="255"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60"/>
          </w:cols>
          <w:pgMar w:left="240" w:top="458"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Australia</w:t>
      </w:r>
    </w:p>
    <w:p>
      <w:pPr>
        <w:spacing w:after="0" w:line="115" w:lineRule="exact"/>
        <w:rPr>
          <w:sz w:val="20"/>
          <w:szCs w:val="20"/>
          <w:color w:val="auto"/>
        </w:rPr>
      </w:pPr>
    </w:p>
    <w:p>
      <w:pPr>
        <w:ind w:left="240" w:right="60" w:firstLine="438"/>
        <w:spacing w:after="0" w:line="275" w:lineRule="auto"/>
        <w:rPr>
          <w:sz w:val="20"/>
          <w:szCs w:val="20"/>
          <w:color w:val="auto"/>
        </w:rPr>
      </w:pPr>
      <w:r>
        <w:rPr>
          <w:rFonts w:ascii="Arial" w:cs="Arial" w:eastAsia="Arial" w:hAnsi="Arial"/>
          <w:sz w:val="18"/>
          <w:szCs w:val="18"/>
          <w:color w:val="auto"/>
        </w:rPr>
        <w:t>This document has not been lodged with the Australian Securities &amp; Investments Commission and is only directed to certain categories of exempt persons. Accordingly, if you receive this document in Australia:</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You confirm and warrant that you are either:</w:t>
      </w:r>
    </w:p>
    <w:p>
      <w:pPr>
        <w:spacing w:after="0" w:line="129" w:lineRule="exact"/>
        <w:rPr>
          <w:sz w:val="20"/>
          <w:szCs w:val="20"/>
          <w:color w:val="auto"/>
        </w:rPr>
      </w:pPr>
    </w:p>
    <w:p>
      <w:pPr>
        <w:ind w:left="1100" w:hanging="327"/>
        <w:spacing w:after="0"/>
        <w:tabs>
          <w:tab w:leader="none" w:pos="11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 2001 (Cth) of Australia, or the Corporations Act;</w:t>
      </w:r>
    </w:p>
    <w:p>
      <w:pPr>
        <w:spacing w:after="0" w:line="140" w:lineRule="exact"/>
        <w:rPr>
          <w:rFonts w:ascii="Arial" w:cs="Arial" w:eastAsia="Arial" w:hAnsi="Arial"/>
          <w:sz w:val="17"/>
          <w:szCs w:val="17"/>
          <w:color w:val="auto"/>
        </w:rPr>
      </w:pPr>
    </w:p>
    <w:p>
      <w:pPr>
        <w:ind w:left="1100" w:right="120" w:hanging="327"/>
        <w:spacing w:after="0" w:line="262" w:lineRule="auto"/>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87" w:lineRule="exact"/>
        <w:rPr>
          <w:rFonts w:ascii="Arial" w:cs="Arial" w:eastAsia="Arial" w:hAnsi="Arial"/>
          <w:sz w:val="18"/>
          <w:szCs w:val="18"/>
          <w:color w:val="auto"/>
        </w:rPr>
      </w:pPr>
    </w:p>
    <w:p>
      <w:pPr>
        <w:ind w:left="1100" w:hanging="327"/>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223" w:lineRule="exact"/>
        <w:rPr>
          <w:sz w:val="20"/>
          <w:szCs w:val="20"/>
          <w:color w:val="auto"/>
        </w:rPr>
      </w:pPr>
    </w:p>
    <w:p>
      <w:pPr>
        <w:ind w:left="240" w:right="600" w:firstLine="438"/>
        <w:spacing w:after="0" w:line="305" w:lineRule="auto"/>
        <w:rPr>
          <w:sz w:val="20"/>
          <w:szCs w:val="20"/>
          <w:color w:val="auto"/>
        </w:rPr>
      </w:pPr>
      <w:r>
        <w:rPr>
          <w:rFonts w:ascii="Arial" w:cs="Arial" w:eastAsia="Arial" w:hAnsi="Arial"/>
          <w:sz w:val="17"/>
          <w:szCs w:val="17"/>
          <w:color w:val="auto"/>
        </w:rPr>
        <w:t>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148" w:lineRule="exact"/>
        <w:rPr>
          <w:sz w:val="20"/>
          <w:szCs w:val="20"/>
          <w:color w:val="auto"/>
        </w:rPr>
      </w:pPr>
    </w:p>
    <w:p>
      <w:pPr>
        <w:ind w:left="240" w:firstLine="434"/>
        <w:spacing w:after="0" w:line="262" w:lineRule="auto"/>
        <w:tabs>
          <w:tab w:leader="none" w:pos="93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Canada</w:t>
      </w:r>
    </w:p>
    <w:p>
      <w:pPr>
        <w:spacing w:after="0" w:line="115" w:lineRule="exact"/>
        <w:rPr>
          <w:sz w:val="20"/>
          <w:szCs w:val="20"/>
          <w:color w:val="auto"/>
        </w:rPr>
      </w:pPr>
    </w:p>
    <w:p>
      <w:pPr>
        <w:ind w:left="240" w:right="40" w:firstLine="438"/>
        <w:spacing w:after="0" w:line="300" w:lineRule="auto"/>
        <w:rPr>
          <w:sz w:val="20"/>
          <w:szCs w:val="20"/>
          <w:color w:val="auto"/>
        </w:rPr>
      </w:pPr>
      <w:r>
        <w:rPr>
          <w:rFonts w:ascii="Arial" w:cs="Arial" w:eastAsia="Arial" w:hAnsi="Arial"/>
          <w:sz w:val="16"/>
          <w:szCs w:val="16"/>
          <w:color w:val="auto"/>
        </w:rPr>
        <w:t>The ADSs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4" w:lineRule="exact"/>
        <w:rPr>
          <w:sz w:val="20"/>
          <w:szCs w:val="20"/>
          <w:color w:val="auto"/>
        </w:rPr>
      </w:pPr>
    </w:p>
    <w:p>
      <w:pPr>
        <w:ind w:left="240" w:right="200" w:firstLine="438"/>
        <w:spacing w:after="0" w:line="300"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40" w:right="80" w:firstLine="438"/>
        <w:spacing w:after="0" w:line="275"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5" w:lineRule="exact"/>
        <w:rPr>
          <w:sz w:val="20"/>
          <w:szCs w:val="20"/>
          <w:color w:val="auto"/>
        </w:rPr>
      </w:pPr>
    </w:p>
    <w:p>
      <w:pPr>
        <w:ind w:left="240" w:right="440" w:firstLine="438"/>
        <w:spacing w:after="0" w:line="262" w:lineRule="auto"/>
        <w:rPr>
          <w:sz w:val="20"/>
          <w:szCs w:val="20"/>
          <w:color w:val="auto"/>
        </w:rPr>
      </w:pPr>
      <w:r>
        <w:rPr>
          <w:rFonts w:ascii="Arial" w:cs="Arial" w:eastAsia="Arial" w:hAnsi="Arial"/>
          <w:sz w:val="18"/>
          <w:szCs w:val="18"/>
          <w:color w:val="auto"/>
        </w:rPr>
        <w:t>This prospectus does not constitute a public offer of the ADSs or our ordinary shares, whether by way of sale or subscription, in the Cayman Islands. The underwriters have not offered or sold, and will not offer or sell, directly or indirectly, any ADSs or our ordinary shares in the Cayman Islands.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Dubai International Financial Center (“DIFC”)</w:t>
      </w:r>
    </w:p>
    <w:p>
      <w:pPr>
        <w:spacing w:after="0" w:line="115" w:lineRule="exact"/>
        <w:rPr>
          <w:sz w:val="20"/>
          <w:szCs w:val="20"/>
          <w:color w:val="auto"/>
        </w:rPr>
      </w:pPr>
    </w:p>
    <w:p>
      <w:pPr>
        <w:ind w:left="240" w:right="140" w:firstLine="438"/>
        <w:spacing w:after="0" w:line="275" w:lineRule="auto"/>
        <w:rPr>
          <w:sz w:val="20"/>
          <w:szCs w:val="20"/>
          <w:color w:val="auto"/>
        </w:rPr>
      </w:pPr>
      <w:r>
        <w:rPr>
          <w:rFonts w:ascii="Arial" w:cs="Arial" w:eastAsia="Arial" w:hAnsi="Arial"/>
          <w:sz w:val="18"/>
          <w:szCs w:val="18"/>
          <w:color w:val="auto"/>
        </w:rPr>
        <w:t>This prospectus relates to an exempt offer in accordance with the Markets Rules 2012 of the Dubai Financial Services Authority (“DFSA”). This prospectus is intended for distribution only to persons of a type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80"/>
          </w:cols>
          <w:pgMar w:left="240" w:top="458"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380"/>
        <w:spacing w:after="0" w:line="295" w:lineRule="auto"/>
        <w:rPr>
          <w:sz w:val="20"/>
          <w:szCs w:val="20"/>
          <w:color w:val="auto"/>
        </w:rPr>
      </w:pPr>
      <w:r>
        <w:rPr>
          <w:rFonts w:ascii="Arial" w:cs="Arial" w:eastAsia="Arial" w:hAnsi="Arial"/>
          <w:sz w:val="16"/>
          <w:szCs w:val="16"/>
          <w:color w:val="auto"/>
        </w:rPr>
        <w:t>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ADSs which are the subject of this offering contemplated by this prospectus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58" w:lineRule="exact"/>
        <w:rPr>
          <w:sz w:val="20"/>
          <w:szCs w:val="20"/>
          <w:color w:val="auto"/>
        </w:rPr>
      </w:pPr>
    </w:p>
    <w:p>
      <w:pPr>
        <w:ind w:left="240" w:right="220" w:firstLine="438"/>
        <w:spacing w:after="0" w:line="262"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5" w:lineRule="exact"/>
        <w:rPr>
          <w:sz w:val="20"/>
          <w:szCs w:val="20"/>
          <w:color w:val="auto"/>
        </w:rPr>
      </w:pPr>
    </w:p>
    <w:p>
      <w:pPr>
        <w:ind w:left="240" w:right="220" w:firstLine="438"/>
        <w:spacing w:after="0" w:line="309"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of ADSs to the public may not be made in that Relevant Member State, except that an offer of ADSs to the public may be made at any time under the following exemptions under the Prospectus Directive, if they have been implemented in that Relevant Member State:</w:t>
      </w:r>
    </w:p>
    <w:p>
      <w:pPr>
        <w:spacing w:after="0" w:line="55" w:lineRule="exact"/>
        <w:rPr>
          <w:sz w:val="20"/>
          <w:szCs w:val="20"/>
          <w:color w:val="auto"/>
        </w:rPr>
      </w:pPr>
    </w:p>
    <w:p>
      <w:pPr>
        <w:ind w:left="1100" w:hanging="327"/>
        <w:spacing w:after="0"/>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28" w:lineRule="exact"/>
        <w:rPr>
          <w:rFonts w:ascii="Arial" w:cs="Arial" w:eastAsia="Arial" w:hAnsi="Arial"/>
          <w:sz w:val="18"/>
          <w:szCs w:val="18"/>
          <w:color w:val="auto"/>
        </w:rPr>
      </w:pPr>
    </w:p>
    <w:p>
      <w:pPr>
        <w:ind w:left="1100" w:hanging="327"/>
        <w:spacing w:after="0" w:line="262" w:lineRule="auto"/>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provisions of the 2010 Amending Directive, 150, natural or legal persons (other than qualified investors as defined in the Prospectus Directive) subject to obtaining the prior consent of the representatives for any such offer; or</w:t>
      </w:r>
    </w:p>
    <w:p>
      <w:pPr>
        <w:spacing w:after="0" w:line="87" w:lineRule="exact"/>
        <w:rPr>
          <w:rFonts w:ascii="Arial" w:cs="Arial" w:eastAsia="Arial" w:hAnsi="Arial"/>
          <w:sz w:val="18"/>
          <w:szCs w:val="18"/>
          <w:color w:val="auto"/>
        </w:rPr>
      </w:pPr>
    </w:p>
    <w:p>
      <w:pPr>
        <w:ind w:left="1100" w:hanging="327"/>
        <w:spacing w:after="0"/>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3" w:lineRule="exact"/>
        <w:rPr>
          <w:sz w:val="20"/>
          <w:szCs w:val="20"/>
          <w:color w:val="auto"/>
        </w:rPr>
      </w:pPr>
    </w:p>
    <w:p>
      <w:pPr>
        <w:ind w:left="240" w:right="220" w:firstLine="438"/>
        <w:spacing w:after="0" w:line="277" w:lineRule="auto"/>
        <w:rPr>
          <w:sz w:val="20"/>
          <w:szCs w:val="20"/>
          <w:color w:val="auto"/>
        </w:rPr>
      </w:pPr>
      <w:r>
        <w:rPr>
          <w:rFonts w:ascii="Arial" w:cs="Arial" w:eastAsia="Arial" w:hAnsi="Arial"/>
          <w:sz w:val="17"/>
          <w:szCs w:val="17"/>
          <w:color w:val="auto"/>
        </w:rPr>
        <w:t>provided that no such offer of ADSs shall result in a requirement for the publication of a prospectus pursuant to Article 3 of the Prospectus Directive or any measure implementing the Prospectus Directive in a Relevant Member State and each person who initially acquires any ADSs or to whom an offer is made will be deemed to have represented, warranted and agreed to and with the underwriters that it is a qualified investor within the meaning of the law in that Relevant Member State implementing Article 2(1)(e) of the Prospectus Directive.</w:t>
      </w:r>
    </w:p>
    <w:p>
      <w:pPr>
        <w:spacing w:after="0" w:line="172" w:lineRule="exact"/>
        <w:rPr>
          <w:sz w:val="20"/>
          <w:szCs w:val="20"/>
          <w:color w:val="auto"/>
        </w:rPr>
      </w:pPr>
    </w:p>
    <w:p>
      <w:pPr>
        <w:ind w:left="240" w:right="80" w:firstLine="438"/>
        <w:spacing w:after="0" w:line="254" w:lineRule="auto"/>
        <w:rPr>
          <w:sz w:val="20"/>
          <w:szCs w:val="20"/>
          <w:color w:val="auto"/>
        </w:rPr>
      </w:pPr>
      <w:r>
        <w:rPr>
          <w:rFonts w:ascii="Arial" w:cs="Arial" w:eastAsia="Arial" w:hAnsi="Arial"/>
          <w:sz w:val="18"/>
          <w:szCs w:val="18"/>
          <w:color w:val="auto"/>
        </w:rPr>
        <w:t>For the purposes of this provision, the expression “an offer of ADSs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each Relevant Member State.</w:t>
      </w:r>
    </w:p>
    <w:p>
      <w:pPr>
        <w:spacing w:after="0" w:line="190" w:lineRule="exact"/>
        <w:rPr>
          <w:sz w:val="20"/>
          <w:szCs w:val="20"/>
          <w:color w:val="auto"/>
        </w:rPr>
      </w:pPr>
    </w:p>
    <w:p>
      <w:pPr>
        <w:ind w:left="240" w:right="280" w:firstLine="438"/>
        <w:spacing w:after="0" w:line="289" w:lineRule="auto"/>
        <w:rPr>
          <w:sz w:val="20"/>
          <w:szCs w:val="20"/>
          <w:color w:val="auto"/>
        </w:rPr>
      </w:pPr>
      <w:r>
        <w:rPr>
          <w:rFonts w:ascii="Arial" w:cs="Arial" w:eastAsia="Arial" w:hAnsi="Arial"/>
          <w:sz w:val="16"/>
          <w:szCs w:val="16"/>
          <w:color w:val="auto"/>
        </w:rPr>
        <w:t>In the case of any ADSs being offered to a financial intermediary as that term is used in Article 3(2) of the Prospectus Directive, such financial intermediary will also be deemed to have represented, acknowledged and agreed that the ADSs acquired by it in the offer have not been acquired on</w:t>
      </w:r>
    </w:p>
    <w:p>
      <w:pPr>
        <w:spacing w:after="0" w:line="1" w:lineRule="exact"/>
        <w:rPr>
          <w:sz w:val="20"/>
          <w:szCs w:val="20"/>
          <w:color w:val="auto"/>
        </w:rPr>
      </w:pPr>
    </w:p>
    <w:p>
      <w:pPr>
        <w:ind w:left="240" w:right="100"/>
        <w:spacing w:after="0" w:line="253" w:lineRule="auto"/>
        <w:rPr>
          <w:sz w:val="20"/>
          <w:szCs w:val="20"/>
          <w:color w:val="auto"/>
        </w:rPr>
      </w:pPr>
      <w:r>
        <w:rPr>
          <w:rFonts w:ascii="Arial" w:cs="Arial" w:eastAsia="Arial" w:hAnsi="Arial"/>
          <w:sz w:val="18"/>
          <w:szCs w:val="18"/>
          <w:color w:val="auto"/>
        </w:rPr>
        <w:t>a non-discretionary basis on behalf of, nor have they been acquired with a view to their offer or resale to, persons in circumstances which may give rise to an offer of ADSs to the public other than their offer or resale in a Relevant Member State to qualified investors as so defined or in circumstances in which the prior consent of the underwriters has been obtained to each such proposed offer or resale.</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115" w:lineRule="exact"/>
        <w:rPr>
          <w:sz w:val="20"/>
          <w:szCs w:val="20"/>
          <w:color w:val="auto"/>
        </w:rPr>
      </w:pPr>
    </w:p>
    <w:p>
      <w:pPr>
        <w:ind w:left="240" w:right="60" w:firstLine="438"/>
        <w:spacing w:after="0" w:line="275" w:lineRule="auto"/>
        <w:rPr>
          <w:sz w:val="20"/>
          <w:szCs w:val="20"/>
          <w:color w:val="auto"/>
        </w:rPr>
      </w:pPr>
      <w:r>
        <w:rPr>
          <w:rFonts w:ascii="Arial" w:cs="Arial" w:eastAsia="Arial" w:hAnsi="Arial"/>
          <w:sz w:val="18"/>
          <w:szCs w:val="18"/>
          <w:color w:val="auto"/>
        </w:rPr>
        <w:t>The ADSs may not be offered or sold in Hong Kong by means of any document other than (i) in circumstances which do not constitute an offer to the public within the meaning of the Companies (Winding Up</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80"/>
          </w:cols>
          <w:pgMar w:left="240" w:top="457"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100"/>
        <w:spacing w:after="0" w:line="268" w:lineRule="auto"/>
        <w:rPr>
          <w:sz w:val="20"/>
          <w:szCs w:val="20"/>
          <w:color w:val="auto"/>
        </w:rPr>
      </w:pPr>
      <w:r>
        <w:rPr>
          <w:rFonts w:ascii="Arial" w:cs="Arial" w:eastAsia="Arial" w:hAnsi="Arial"/>
          <w:sz w:val="17"/>
          <w:szCs w:val="17"/>
          <w:color w:val="auto"/>
        </w:rPr>
        <w:t>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ADSs which are or are intended to be disposed of only to persons outside Hong Kong or only to “professional investors” in Hong Kong as defined in the Securities and Futures Ordinance and any rules made thereunder.</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115"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Korea</w:t>
      </w:r>
    </w:p>
    <w:p>
      <w:pPr>
        <w:spacing w:after="0" w:line="115" w:lineRule="exact"/>
        <w:rPr>
          <w:sz w:val="20"/>
          <w:szCs w:val="20"/>
          <w:color w:val="auto"/>
        </w:rPr>
      </w:pPr>
    </w:p>
    <w:p>
      <w:pPr>
        <w:ind w:left="240" w:right="180" w:firstLine="438"/>
        <w:spacing w:after="0" w:line="292" w:lineRule="auto"/>
        <w:rPr>
          <w:sz w:val="20"/>
          <w:szCs w:val="20"/>
          <w:color w:val="auto"/>
        </w:rPr>
      </w:pPr>
      <w:r>
        <w:rPr>
          <w:rFonts w:ascii="Arial" w:cs="Arial" w:eastAsia="Arial" w:hAnsi="Arial"/>
          <w:sz w:val="16"/>
          <w:szCs w:val="16"/>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Kuwait</w:t>
      </w:r>
    </w:p>
    <w:p>
      <w:pPr>
        <w:spacing w:after="0" w:line="115" w:lineRule="exact"/>
        <w:rPr>
          <w:sz w:val="20"/>
          <w:szCs w:val="20"/>
          <w:color w:val="auto"/>
        </w:rPr>
      </w:pPr>
    </w:p>
    <w:p>
      <w:pPr>
        <w:ind w:left="240" w:right="40" w:firstLine="438"/>
        <w:spacing w:after="0" w:line="255"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Malaysia</w:t>
      </w:r>
    </w:p>
    <w:p>
      <w:pPr>
        <w:spacing w:after="0" w:line="115" w:lineRule="exact"/>
        <w:rPr>
          <w:sz w:val="20"/>
          <w:szCs w:val="20"/>
          <w:color w:val="auto"/>
        </w:rPr>
      </w:pPr>
    </w:p>
    <w:p>
      <w:pPr>
        <w:ind w:left="240" w:right="240" w:firstLine="438"/>
        <w:spacing w:after="0" w:line="254" w:lineRule="auto"/>
        <w:rPr>
          <w:sz w:val="20"/>
          <w:szCs w:val="20"/>
          <w:color w:val="auto"/>
        </w:rPr>
      </w:pPr>
      <w:r>
        <w:rPr>
          <w:rFonts w:ascii="Arial" w:cs="Arial" w:eastAsia="Arial" w:hAnsi="Arial"/>
          <w:sz w:val="18"/>
          <w:szCs w:val="18"/>
          <w:color w:val="auto"/>
        </w:rPr>
        <w:t>No prospectus or other offering material or document in connection with the offer and sale of the ADSs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Malaysia other than (i) a closed end fund approved by the Commission; (ii) a holder of a Capital Markets Services Licence; (iii) a person who</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80"/>
          </w:cols>
          <w:pgMar w:left="240" w:top="458"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line="283" w:lineRule="auto"/>
        <w:rPr>
          <w:sz w:val="20"/>
          <w:szCs w:val="20"/>
          <w:color w:val="auto"/>
        </w:rPr>
      </w:pPr>
      <w:r>
        <w:rPr>
          <w:rFonts w:ascii="Arial" w:cs="Arial" w:eastAsia="Arial" w:hAnsi="Arial"/>
          <w:sz w:val="16"/>
          <w:szCs w:val="16"/>
          <w:color w:val="auto"/>
        </w:rPr>
        <w:t>acquires the ADSs, as principal, if the offer is on terms that the ADSs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2" w:lineRule="exact"/>
        <w:rPr>
          <w:sz w:val="20"/>
          <w:szCs w:val="20"/>
          <w:color w:val="auto"/>
        </w:rPr>
      </w:pPr>
    </w:p>
    <w:p>
      <w:pPr>
        <w:ind w:left="240" w:right="120" w:hanging="4"/>
        <w:spacing w:after="0" w:line="267" w:lineRule="auto"/>
        <w:tabs>
          <w:tab w:leader="none" w:pos="64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ADSs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15" w:lineRule="exact"/>
        <w:rPr>
          <w:sz w:val="20"/>
          <w:szCs w:val="20"/>
          <w:color w:val="auto"/>
        </w:rPr>
      </w:pPr>
    </w:p>
    <w:p>
      <w:pPr>
        <w:ind w:left="240" w:right="140" w:firstLine="438"/>
        <w:spacing w:after="0" w:line="309" w:lineRule="auto"/>
        <w:rPr>
          <w:sz w:val="20"/>
          <w:szCs w:val="20"/>
          <w:color w:val="auto"/>
        </w:rPr>
      </w:pPr>
      <w:r>
        <w:rPr>
          <w:rFonts w:ascii="Arial" w:cs="Arial" w:eastAsia="Arial" w:hAnsi="Arial"/>
          <w:sz w:val="16"/>
          <w:szCs w:val="16"/>
          <w:color w:val="auto"/>
        </w:rPr>
        <w:t>This prospectus may not be circulated or distributed in the PRC and the ADSs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Qatar</w:t>
      </w:r>
    </w:p>
    <w:p>
      <w:pPr>
        <w:spacing w:after="0" w:line="115" w:lineRule="exact"/>
        <w:rPr>
          <w:sz w:val="20"/>
          <w:szCs w:val="20"/>
          <w:color w:val="auto"/>
        </w:rPr>
      </w:pPr>
    </w:p>
    <w:p>
      <w:pPr>
        <w:ind w:left="240" w:right="80" w:firstLine="438"/>
        <w:spacing w:after="0" w:line="253" w:lineRule="auto"/>
        <w:rPr>
          <w:sz w:val="20"/>
          <w:szCs w:val="20"/>
          <w:color w:val="auto"/>
        </w:rPr>
      </w:pPr>
      <w:r>
        <w:rPr>
          <w:rFonts w:ascii="Arial" w:cs="Arial" w:eastAsia="Arial" w:hAnsi="Arial"/>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Saudi Arabia</w:t>
      </w:r>
    </w:p>
    <w:p>
      <w:pPr>
        <w:spacing w:after="0" w:line="115" w:lineRule="exact"/>
        <w:rPr>
          <w:sz w:val="20"/>
          <w:szCs w:val="20"/>
          <w:color w:val="auto"/>
        </w:rPr>
      </w:pPr>
    </w:p>
    <w:p>
      <w:pPr>
        <w:ind w:left="240" w:right="60" w:firstLine="438"/>
        <w:spacing w:after="0" w:line="295"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115"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color w:val="auto"/>
        </w:rPr>
        <w:t>This prospectus has not been registered as a prospectus in Singapore with the Monetary Authority of Singapore. Accordingly, this prospectus and any other documents or material in connection with the offer or sale, or invitation for subscription or purchase, of the ADSs may not be circulated or distributed, nor may the ADSs be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80"/>
          </w:cols>
          <w:pgMar w:left="240" w:top="458"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offered or sold, or be made the subject of an invitation for subscription or purchase, whether directly or indirectly, to persons in Singapore other than</w:t>
      </w:r>
    </w:p>
    <w:p>
      <w:pPr>
        <w:spacing w:after="0" w:line="45" w:lineRule="exact"/>
        <w:rPr>
          <w:sz w:val="20"/>
          <w:szCs w:val="20"/>
          <w:color w:val="auto"/>
        </w:rPr>
      </w:pPr>
    </w:p>
    <w:p>
      <w:pPr>
        <w:ind w:left="240" w:right="100" w:hanging="4"/>
        <w:spacing w:after="0" w:line="280" w:lineRule="auto"/>
        <w:tabs>
          <w:tab w:leader="none" w:pos="45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Securities and Futures Act, Chapter 289 of Singapore, or the SFA, or (ii) to a relevant person pursuant to Section 275(1), or to any person pursuant to Section 275(1A), and in accordance with the conditions specified in Section 275, of the SFA or</w:t>
      </w:r>
    </w:p>
    <w:p>
      <w:pPr>
        <w:ind w:left="540" w:hanging="304"/>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0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15" w:lineRule="exact"/>
        <w:rPr>
          <w:sz w:val="20"/>
          <w:szCs w:val="20"/>
          <w:color w:val="auto"/>
        </w:rPr>
      </w:pPr>
    </w:p>
    <w:p>
      <w:pPr>
        <w:ind w:left="240" w:right="80" w:firstLine="434"/>
        <w:spacing w:after="0" w:line="275" w:lineRule="auto"/>
        <w:tabs>
          <w:tab w:leader="none" w:pos="92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auto"/>
        </w:rPr>
      </w:pPr>
    </w:p>
    <w:p>
      <w:pPr>
        <w:ind w:left="240" w:right="600" w:firstLine="434"/>
        <w:spacing w:after="0" w:line="275" w:lineRule="auto"/>
        <w:tabs>
          <w:tab w:leader="none" w:pos="93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40" w:right="100" w:firstLine="438"/>
        <w:spacing w:after="0" w:line="339"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in that trust shall not be transferred within six (6) months after that corporation or that trust has acquired the ADSs pursuant to an offer made under section 275 of the SFA except:</w:t>
      </w:r>
    </w:p>
    <w:p>
      <w:pPr>
        <w:spacing w:after="0" w:line="17" w:lineRule="exact"/>
        <w:rPr>
          <w:sz w:val="20"/>
          <w:szCs w:val="20"/>
          <w:color w:val="auto"/>
        </w:rPr>
      </w:pPr>
    </w:p>
    <w:p>
      <w:pPr>
        <w:ind w:left="240" w:right="300" w:firstLine="434"/>
        <w:spacing w:after="0" w:line="275" w:lineRule="auto"/>
        <w:tabs>
          <w:tab w:leader="none" w:pos="93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920" w:hanging="246"/>
        <w:spacing w:after="0"/>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5" w:lineRule="exact"/>
        <w:rPr>
          <w:rFonts w:ascii="Arial" w:cs="Arial" w:eastAsia="Arial" w:hAnsi="Arial"/>
          <w:sz w:val="18"/>
          <w:szCs w:val="18"/>
          <w:color w:val="auto"/>
        </w:rPr>
      </w:pPr>
    </w:p>
    <w:p>
      <w:pPr>
        <w:ind w:left="920" w:hanging="246"/>
        <w:spacing w:after="0"/>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5" w:lineRule="exact"/>
        <w:rPr>
          <w:rFonts w:ascii="Arial" w:cs="Arial" w:eastAsia="Arial" w:hAnsi="Arial"/>
          <w:sz w:val="18"/>
          <w:szCs w:val="18"/>
          <w:color w:val="auto"/>
        </w:rPr>
      </w:pPr>
    </w:p>
    <w:p>
      <w:pPr>
        <w:ind w:left="920" w:hanging="246"/>
        <w:spacing w:after="0"/>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5" w:lineRule="exact"/>
        <w:rPr>
          <w:rFonts w:ascii="Arial" w:cs="Arial" w:eastAsia="Arial" w:hAnsi="Arial"/>
          <w:sz w:val="18"/>
          <w:szCs w:val="18"/>
          <w:color w:val="auto"/>
        </w:rPr>
      </w:pPr>
    </w:p>
    <w:p>
      <w:pPr>
        <w:ind w:left="920" w:hanging="246"/>
        <w:spacing w:after="0"/>
        <w:tabs>
          <w:tab w:leader="none" w:pos="9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ind w:left="240" w:right="180" w:firstLine="438"/>
        <w:spacing w:after="0" w:line="312" w:lineRule="auto"/>
        <w:rPr>
          <w:sz w:val="20"/>
          <w:szCs w:val="20"/>
          <w:color w:val="auto"/>
        </w:rPr>
      </w:pPr>
      <w:r>
        <w:rPr>
          <w:rFonts w:ascii="Arial" w:cs="Arial" w:eastAsia="Arial" w:hAnsi="Arial"/>
          <w:sz w:val="16"/>
          <w:szCs w:val="16"/>
          <w:b w:val="1"/>
          <w:bCs w:val="1"/>
          <w:color w:val="auto"/>
        </w:rPr>
        <w:t>Notification under Section 309B(1)(c) of the SFA</w:t>
      </w:r>
      <w:r>
        <w:rPr>
          <w:rFonts w:ascii="Arial" w:cs="Arial" w:eastAsia="Arial" w:hAnsi="Arial"/>
          <w:sz w:val="16"/>
          <w:szCs w:val="16"/>
          <w:color w:val="auto"/>
        </w:rPr>
        <w:t>: We have determined that the ADSs shall be (A) prescribed capital markets products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the Securities and Futures (Capital Markets Products) Regulations 2018) and (B) Excluded Investment Products (as defined in MAS Notice SFA 04-N12: Notice on the Sale of Investment Products and MAS Notice FAA-N16: Notice on Recommendations on Investment Products).</w:t>
      </w:r>
    </w:p>
    <w:p>
      <w:pPr>
        <w:spacing w:after="0" w:line="25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Switzerland</w:t>
      </w:r>
    </w:p>
    <w:p>
      <w:pPr>
        <w:spacing w:after="0" w:line="115" w:lineRule="exact"/>
        <w:rPr>
          <w:sz w:val="20"/>
          <w:szCs w:val="20"/>
          <w:color w:val="auto"/>
        </w:rPr>
      </w:pPr>
    </w:p>
    <w:p>
      <w:pPr>
        <w:ind w:left="240" w:firstLine="438"/>
        <w:spacing w:after="0" w:line="288" w:lineRule="auto"/>
        <w:rPr>
          <w:sz w:val="20"/>
          <w:szCs w:val="20"/>
          <w:color w:val="auto"/>
        </w:rPr>
      </w:pPr>
      <w:r>
        <w:rPr>
          <w:rFonts w:ascii="Arial" w:cs="Arial" w:eastAsia="Arial" w:hAnsi="Arial"/>
          <w:sz w:val="16"/>
          <w:szCs w:val="16"/>
          <w:color w:val="auto"/>
        </w:rPr>
        <w:t>The ADSs will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Taiwan</w:t>
      </w:r>
    </w:p>
    <w:p>
      <w:pPr>
        <w:spacing w:after="0" w:line="115" w:lineRule="exact"/>
        <w:rPr>
          <w:sz w:val="20"/>
          <w:szCs w:val="20"/>
          <w:color w:val="auto"/>
        </w:rPr>
      </w:pPr>
    </w:p>
    <w:p>
      <w:pPr>
        <w:ind w:left="240" w:right="40" w:firstLine="438"/>
        <w:spacing w:after="0" w:line="275" w:lineRule="auto"/>
        <w:rPr>
          <w:sz w:val="20"/>
          <w:szCs w:val="20"/>
          <w:color w:val="auto"/>
        </w:rPr>
      </w:pPr>
      <w:r>
        <w:rPr>
          <w:rFonts w:ascii="Arial" w:cs="Arial" w:eastAsia="Arial" w:hAnsi="Arial"/>
          <w:sz w:val="18"/>
          <w:szCs w:val="18"/>
          <w:color w:val="auto"/>
        </w:rPr>
        <w:t>The ADSs have not been and will not be registered with the Financial Supervisory Commission of Taiwan pursuant to relevant securities laws and regulations and may not be sold, issued or offered within Taiwan through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80"/>
          </w:cols>
          <w:pgMar w:left="240" w:top="458"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right="420"/>
        <w:spacing w:after="0" w:line="262" w:lineRule="auto"/>
        <w:rPr>
          <w:sz w:val="20"/>
          <w:szCs w:val="20"/>
          <w:color w:val="auto"/>
        </w:rPr>
      </w:pPr>
      <w:r>
        <w:rPr>
          <w:rFonts w:ascii="Arial" w:cs="Arial" w:eastAsia="Arial" w:hAnsi="Arial"/>
          <w:sz w:val="18"/>
          <w:szCs w:val="18"/>
          <w:color w:val="auto"/>
        </w:rPr>
        <w:t>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5" w:lineRule="exact"/>
        <w:rPr>
          <w:sz w:val="20"/>
          <w:szCs w:val="20"/>
          <w:color w:val="auto"/>
        </w:rPr>
      </w:pPr>
    </w:p>
    <w:p>
      <w:pPr>
        <w:ind w:left="240" w:right="40" w:firstLine="438"/>
        <w:spacing w:after="0" w:line="254" w:lineRule="auto"/>
        <w:rPr>
          <w:sz w:val="20"/>
          <w:szCs w:val="20"/>
          <w:color w:val="auto"/>
        </w:rPr>
      </w:pPr>
      <w:r>
        <w:rPr>
          <w:rFonts w:ascii="Arial" w:cs="Arial" w:eastAsia="Arial" w:hAnsi="Arial"/>
          <w:sz w:val="18"/>
          <w:szCs w:val="18"/>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5" w:lineRule="exact"/>
        <w:rPr>
          <w:sz w:val="20"/>
          <w:szCs w:val="20"/>
          <w:color w:val="auto"/>
        </w:rPr>
      </w:pPr>
    </w:p>
    <w:p>
      <w:pPr>
        <w:ind w:left="240" w:firstLine="438"/>
        <w:spacing w:after="0" w:line="295" w:lineRule="auto"/>
        <w:rPr>
          <w:sz w:val="20"/>
          <w:szCs w:val="20"/>
          <w:color w:val="auto"/>
        </w:rPr>
      </w:pPr>
      <w:r>
        <w:rPr>
          <w:rFonts w:ascii="Arial" w:cs="Arial" w:eastAsia="Arial" w:hAnsi="Arial"/>
          <w:sz w:val="16"/>
          <w:szCs w:val="16"/>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240" w:top="457" w:right="5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EXPENSES RELATED TO THIS OFFERING</w:t>
      </w:r>
    </w:p>
    <w:p>
      <w:pPr>
        <w:spacing w:after="0" w:line="227"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application and listing fee, all amounts are estimates.</w:t>
      </w:r>
    </w:p>
    <w:p>
      <w:pPr>
        <w:spacing w:after="0" w:line="223" w:lineRule="exact"/>
        <w:rPr>
          <w:sz w:val="20"/>
          <w:szCs w:val="20"/>
          <w:color w:val="auto"/>
        </w:rPr>
      </w:pPr>
    </w:p>
    <w:tbl>
      <w:tblPr>
        <w:tblLayout w:type="fixed"/>
        <w:tblInd w:w="2000" w:type="dxa"/>
        <w:tblCellMar>
          <w:top w:w="0" w:type="dxa"/>
          <w:left w:w="0" w:type="dxa"/>
          <w:bottom w:w="0" w:type="dxa"/>
          <w:right w:w="0" w:type="dxa"/>
        </w:tblCellMar>
      </w:tblP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8"/>
                <w:szCs w:val="18"/>
                <w:color w:val="auto"/>
              </w:rPr>
              <w:t>FINRA Filing Fee</w:t>
            </w:r>
          </w:p>
        </w:tc>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Nasdaq Application and Listing Fee</w:t>
            </w:r>
          </w:p>
        </w:tc>
        <w:tc>
          <w:tcPr>
            <w:tcW w:w="3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3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380" w:type="dxa"/>
            <w:vAlign w:val="bottom"/>
            <w:vMerge w:val="restart"/>
          </w:tcPr>
          <w:p>
            <w:pPr>
              <w:jc w:val="right"/>
              <w:ind w:right="2531"/>
              <w:spacing w:after="0"/>
              <w:rPr>
                <w:sz w:val="20"/>
                <w:szCs w:val="20"/>
                <w:color w:val="auto"/>
              </w:rPr>
            </w:pPr>
            <w:r>
              <w:rPr>
                <w:rFonts w:ascii="Arial" w:cs="Arial" w:eastAsia="Arial" w:hAnsi="Arial"/>
                <w:sz w:val="18"/>
                <w:szCs w:val="18"/>
                <w:color w:val="auto"/>
              </w:rPr>
              <w:t>202</w:t>
            </w: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7" w:right="6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7" w:lineRule="exact"/>
        <w:rPr>
          <w:sz w:val="20"/>
          <w:szCs w:val="20"/>
          <w:color w:val="auto"/>
        </w:rPr>
      </w:pPr>
    </w:p>
    <w:p>
      <w:pPr>
        <w:ind w:left="240" w:firstLine="438"/>
        <w:spacing w:after="0" w:line="286" w:lineRule="auto"/>
        <w:rPr>
          <w:sz w:val="20"/>
          <w:szCs w:val="20"/>
          <w:color w:val="auto"/>
        </w:rPr>
      </w:pPr>
      <w:r>
        <w:rPr>
          <w:rFonts w:ascii="Arial" w:cs="Arial" w:eastAsia="Arial" w:hAnsi="Arial"/>
          <w:sz w:val="16"/>
          <w:szCs w:val="16"/>
          <w:color w:val="auto"/>
        </w:rPr>
        <w:t>We are being represented by Skadden, Arps, Slate, Meagher &amp; Flom LLP with respect to certain legal matters as to United States federal securities and New York State law. The underwriters are being represented by Latham &amp; Watkins with respect to certain legal matters as to United States federal securities and New York State law. The validity of the ordinary shares represented by the ADSs offered in this offering will be passed upon for us by</w:t>
      </w:r>
    </w:p>
    <w:p>
      <w:pPr>
        <w:spacing w:after="0" w:line="1" w:lineRule="exact"/>
        <w:rPr>
          <w:sz w:val="20"/>
          <w:szCs w:val="20"/>
          <w:color w:val="auto"/>
        </w:rPr>
      </w:pPr>
    </w:p>
    <w:p>
      <w:pPr>
        <w:ind w:left="240" w:right="220" w:firstLine="533"/>
        <w:spacing w:after="0" w:line="280" w:lineRule="auto"/>
        <w:tabs>
          <w:tab w:leader="none" w:pos="86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Certain legal matters as to Hong Kong law will be passed upon for us by Clifford Chance. Certain legal matters as to PRC law will be passed upon for us by CM Law Firm and for the underwriters by Han Kun Law Offices. Skadden, Arps, Slate, Meagher &amp; Flom LLP may rely upon</w:t>
      </w:r>
    </w:p>
    <w:p>
      <w:pPr>
        <w:ind w:left="240" w:right="100"/>
        <w:spacing w:after="0" w:line="258" w:lineRule="auto"/>
        <w:rPr>
          <w:rFonts w:ascii="Arial" w:cs="Arial" w:eastAsia="Arial" w:hAnsi="Arial"/>
          <w:sz w:val="16"/>
          <w:szCs w:val="16"/>
          <w:color w:val="auto"/>
        </w:rPr>
      </w:pPr>
      <w:r>
        <w:rPr>
          <w:rFonts w:ascii="Arial" w:cs="Arial" w:eastAsia="Arial" w:hAnsi="Arial"/>
          <w:sz w:val="18"/>
          <w:szCs w:val="18"/>
          <w:color w:val="auto"/>
        </w:rPr>
        <w:t>with respect to matters governed by Cayman Islands law and CM Law Firm with respect to matters governed by PRC law. Latham &amp; Watkins may rely upon Han Kun Law Offices with respect to matters governed by PRC law.</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80"/>
          </w:cols>
          <w:pgMar w:left="240" w:top="457"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EXPERTS</w:t>
      </w:r>
    </w:p>
    <w:p>
      <w:pPr>
        <w:spacing w:after="0" w:line="227" w:lineRule="exact"/>
        <w:rPr>
          <w:sz w:val="20"/>
          <w:szCs w:val="20"/>
          <w:color w:val="auto"/>
        </w:rPr>
      </w:pPr>
    </w:p>
    <w:p>
      <w:pPr>
        <w:jc w:val="both"/>
        <w:ind w:left="240" w:right="100" w:firstLine="438"/>
        <w:spacing w:after="0" w:line="284" w:lineRule="auto"/>
        <w:rPr>
          <w:sz w:val="20"/>
          <w:szCs w:val="20"/>
          <w:color w:val="auto"/>
        </w:rPr>
      </w:pPr>
      <w:r>
        <w:rPr>
          <w:rFonts w:ascii="Arial" w:cs="Arial" w:eastAsia="Arial" w:hAnsi="Arial"/>
          <w:sz w:val="17"/>
          <w:szCs w:val="17"/>
          <w:color w:val="auto"/>
        </w:rPr>
        <w:t>The consolidated financial statements of Futu Holdings Limited as of December 31, 2016 and 2017, and for each of the two years in the period ended December 31, 2017 included in this prospectus have been so included in reliance on the report of PricewaterhouseCoopers Zhong Tian LLP, an independent registered public accounting firm, given on the authority of said firm as experts in auditing and accounting.</w:t>
      </w:r>
    </w:p>
    <w:p>
      <w:pPr>
        <w:spacing w:after="0" w:line="165"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the People’s Republic of China.</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60"/>
          </w:cols>
          <w:pgMar w:left="240" w:top="458" w:right="5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7" w:lineRule="exact"/>
        <w:rPr>
          <w:sz w:val="20"/>
          <w:szCs w:val="20"/>
          <w:color w:val="auto"/>
        </w:rPr>
      </w:pPr>
    </w:p>
    <w:p>
      <w:pPr>
        <w:ind w:left="240" w:right="100" w:firstLine="438"/>
        <w:spacing w:after="0" w:line="255" w:lineRule="auto"/>
        <w:rPr>
          <w:sz w:val="20"/>
          <w:szCs w:val="20"/>
          <w:color w:val="auto"/>
        </w:rPr>
      </w:pPr>
      <w:r>
        <w:rPr>
          <w:rFonts w:ascii="Arial" w:cs="Arial" w:eastAsia="Arial" w:hAnsi="Arial"/>
          <w:sz w:val="18"/>
          <w:szCs w:val="18"/>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89" w:lineRule="exact"/>
        <w:rPr>
          <w:sz w:val="20"/>
          <w:szCs w:val="20"/>
          <w:color w:val="auto"/>
        </w:rPr>
      </w:pPr>
    </w:p>
    <w:p>
      <w:pPr>
        <w:ind w:left="240" w:firstLine="438"/>
        <w:spacing w:after="0" w:line="272"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 Please call the SEC at 1-800-732-0330 or visit the SEC website for further information on the operation of the public reference rooms.</w:t>
      </w:r>
    </w:p>
    <w:p>
      <w:pPr>
        <w:spacing w:after="0" w:line="175" w:lineRule="exact"/>
        <w:rPr>
          <w:sz w:val="20"/>
          <w:szCs w:val="20"/>
          <w:color w:val="auto"/>
        </w:rPr>
      </w:pPr>
    </w:p>
    <w:p>
      <w:pPr>
        <w:ind w:left="240" w:right="40" w:firstLine="438"/>
        <w:spacing w:after="0" w:line="288"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34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80"/>
          </w:cols>
          <w:pgMar w:left="240" w:top="457"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0500" w:type="dxa"/>
            <w:vAlign w:val="bottom"/>
            <w:gridSpan w:val="8"/>
          </w:tcPr>
          <w:p>
            <w:pPr>
              <w:spacing w:after="0"/>
              <w:rPr>
                <w:sz w:val="20"/>
                <w:szCs w:val="20"/>
                <w:color w:val="auto"/>
              </w:rPr>
            </w:pPr>
            <w:r>
              <w:rPr>
                <w:rFonts w:ascii="Arial" w:cs="Arial" w:eastAsia="Arial" w:hAnsi="Arial"/>
                <w:sz w:val="14"/>
                <w:szCs w:val="14"/>
                <w:b w:val="1"/>
                <w:bCs w:val="1"/>
                <w:color w:val="auto"/>
              </w:rPr>
              <w:t>Contents</w:t>
            </w: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r>
      <w:tr>
        <w:trPr>
          <w:trHeight w:val="148"/>
        </w:trPr>
        <w:tc>
          <w:tcPr>
            <w:tcW w:w="540" w:type="dxa"/>
            <w:vAlign w:val="bottom"/>
            <w:tcBorders>
              <w:top w:val="single" w:sz="8" w:color="auto"/>
              <w:bottom w:val="single" w:sz="8" w:color="0000EE"/>
            </w:tcBorders>
          </w:tcPr>
          <w:p>
            <w:pPr>
              <w:spacing w:after="0" w:line="135" w:lineRule="exact"/>
              <w:rPr>
                <w:rFonts w:ascii="Arial" w:cs="Arial" w:eastAsia="Arial" w:hAnsi="Arial"/>
                <w:sz w:val="15"/>
                <w:szCs w:val="15"/>
                <w:color w:val="0000EE"/>
              </w:rPr>
            </w:pPr>
            <w:hyperlink w:anchor="page212">
              <w:r>
                <w:rPr>
                  <w:rFonts w:ascii="Arial" w:cs="Arial" w:eastAsia="Arial" w:hAnsi="Arial"/>
                  <w:sz w:val="15"/>
                  <w:szCs w:val="15"/>
                  <w:color w:val="0000EE"/>
                </w:rPr>
                <w:t>Report</w:t>
              </w:r>
            </w:hyperlink>
          </w:p>
        </w:tc>
        <w:tc>
          <w:tcPr>
            <w:tcW w:w="3660" w:type="dxa"/>
            <w:vAlign w:val="bottom"/>
            <w:tcBorders>
              <w:bottom w:val="single" w:sz="8" w:color="0000EE"/>
            </w:tcBorders>
            <w:gridSpan w:val="2"/>
          </w:tcPr>
          <w:p>
            <w:pPr>
              <w:spacing w:after="0" w:line="128" w:lineRule="exact"/>
              <w:rPr>
                <w:rFonts w:ascii="Arial" w:cs="Arial" w:eastAsia="Arial" w:hAnsi="Arial"/>
                <w:sz w:val="13"/>
                <w:szCs w:val="13"/>
                <w:color w:val="0000EE"/>
              </w:rPr>
            </w:pPr>
            <w:hyperlink w:anchor="page212">
              <w:r>
                <w:rPr>
                  <w:rFonts w:ascii="Arial" w:cs="Arial" w:eastAsia="Arial" w:hAnsi="Arial"/>
                  <w:sz w:val="13"/>
                  <w:szCs w:val="13"/>
                  <w:color w:val="0000EE"/>
                </w:rPr>
                <w:t>of Independent Registered Public Accounting Firm</w:t>
              </w:r>
            </w:hyperlink>
          </w:p>
        </w:tc>
        <w:tc>
          <w:tcPr>
            <w:tcW w:w="6300" w:type="dxa"/>
            <w:vAlign w:val="bottom"/>
            <w:gridSpan w:val="5"/>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2"/>
                <w:szCs w:val="12"/>
                <w:color w:val="auto"/>
              </w:rPr>
            </w:pPr>
          </w:p>
        </w:tc>
      </w:tr>
      <w:tr>
        <w:trPr>
          <w:trHeight w:val="342"/>
        </w:trPr>
        <w:tc>
          <w:tcPr>
            <w:tcW w:w="10500" w:type="dxa"/>
            <w:vAlign w:val="bottom"/>
            <w:gridSpan w:val="8"/>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4620" w:type="dxa"/>
            <w:vAlign w:val="bottom"/>
            <w:tcBorders>
              <w:bottom w:val="single" w:sz="8" w:color="0000EE"/>
            </w:tcBorders>
            <w:gridSpan w:val="4"/>
          </w:tcPr>
          <w:p>
            <w:pPr>
              <w:spacing w:after="0" w:line="189" w:lineRule="exact"/>
              <w:rPr>
                <w:rFonts w:ascii="Arial" w:cs="Arial" w:eastAsia="Arial" w:hAnsi="Arial"/>
                <w:sz w:val="18"/>
                <w:szCs w:val="18"/>
                <w:color w:val="0000EE"/>
                <w:w w:val="87"/>
              </w:rPr>
            </w:pPr>
            <w:hyperlink w:anchor="page213">
              <w:r>
                <w:rPr>
                  <w:rFonts w:ascii="Arial" w:cs="Arial" w:eastAsia="Arial" w:hAnsi="Arial"/>
                  <w:sz w:val="18"/>
                  <w:szCs w:val="18"/>
                  <w:color w:val="0000EE"/>
                  <w:w w:val="87"/>
                </w:rPr>
                <w:t>Consolidated Balance Sheets as of December 31, 2016 and 2017</w:t>
              </w:r>
            </w:hyperlink>
          </w:p>
        </w:tc>
        <w:tc>
          <w:tcPr>
            <w:tcW w:w="5880" w:type="dxa"/>
            <w:vAlign w:val="bottom"/>
            <w:gridSpan w:val="4"/>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F-3</w:t>
            </w:r>
          </w:p>
        </w:tc>
      </w:tr>
      <w:tr>
        <w:trPr>
          <w:trHeight w:val="195"/>
        </w:trPr>
        <w:tc>
          <w:tcPr>
            <w:tcW w:w="7140" w:type="dxa"/>
            <w:vAlign w:val="bottom"/>
            <w:tcBorders>
              <w:bottom w:val="single" w:sz="8" w:color="0000EE"/>
            </w:tcBorders>
            <w:gridSpan w:val="6"/>
          </w:tcPr>
          <w:p>
            <w:pPr>
              <w:spacing w:after="0" w:line="195" w:lineRule="exact"/>
              <w:rPr>
                <w:rFonts w:ascii="Arial" w:cs="Arial" w:eastAsia="Arial" w:hAnsi="Arial"/>
                <w:sz w:val="18"/>
                <w:szCs w:val="18"/>
                <w:color w:val="0000EE"/>
                <w:w w:val="88"/>
              </w:rPr>
            </w:pPr>
            <w:hyperlink w:anchor="page216">
              <w:r>
                <w:rPr>
                  <w:rFonts w:ascii="Arial" w:cs="Arial" w:eastAsia="Arial" w:hAnsi="Arial"/>
                  <w:sz w:val="18"/>
                  <w:szCs w:val="18"/>
                  <w:color w:val="0000EE"/>
                  <w:w w:val="88"/>
                </w:rPr>
                <w:t>Consolidated Statements of Comprehensive Loss for the Years Ended December 31, 2016 and 2017</w:t>
              </w:r>
            </w:hyperlink>
          </w:p>
        </w:tc>
        <w:tc>
          <w:tcPr>
            <w:tcW w:w="3360" w:type="dxa"/>
            <w:vAlign w:val="bottom"/>
            <w:gridSpan w:val="2"/>
          </w:tcPr>
          <w:p>
            <w:pPr>
              <w:spacing w:after="0"/>
              <w:rPr>
                <w:sz w:val="16"/>
                <w:szCs w:val="16"/>
                <w:color w:val="auto"/>
              </w:rPr>
            </w:pPr>
          </w:p>
        </w:tc>
        <w:tc>
          <w:tcPr>
            <w:tcW w:w="4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F-6</w:t>
            </w:r>
          </w:p>
        </w:tc>
      </w:tr>
      <w:tr>
        <w:trPr>
          <w:trHeight w:val="195"/>
        </w:trPr>
        <w:tc>
          <w:tcPr>
            <w:tcW w:w="10500" w:type="dxa"/>
            <w:vAlign w:val="bottom"/>
            <w:gridSpan w:val="8"/>
          </w:tcPr>
          <w:p>
            <w:pPr>
              <w:spacing w:after="0" w:line="195" w:lineRule="exact"/>
              <w:rPr>
                <w:rFonts w:ascii="Arial" w:cs="Arial" w:eastAsia="Arial" w:hAnsi="Arial"/>
                <w:sz w:val="18"/>
                <w:szCs w:val="18"/>
                <w:color w:val="0000EE"/>
              </w:rPr>
            </w:pPr>
            <w:hyperlink w:anchor="page217">
              <w:r>
                <w:rPr>
                  <w:rFonts w:ascii="Arial" w:cs="Arial" w:eastAsia="Arial" w:hAnsi="Arial"/>
                  <w:sz w:val="18"/>
                  <w:szCs w:val="18"/>
                  <w:color w:val="0000EE"/>
                </w:rPr>
                <w:t>Consolidated Statements of Changes in Shareholders’ Deficit for the Years Ended December 31, 2016 and 2017</w:t>
              </w:r>
            </w:hyperlink>
          </w:p>
        </w:tc>
        <w:tc>
          <w:tcPr>
            <w:tcW w:w="4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F-7</w:t>
            </w:r>
          </w:p>
        </w:tc>
      </w:tr>
      <w:tr>
        <w:trPr>
          <w:trHeight w:val="195"/>
        </w:trPr>
        <w:tc>
          <w:tcPr>
            <w:tcW w:w="652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Consolidated Statements of Cash Flows for the Years Ended December 31, 2016 and 2017</w:t>
              </w:r>
            </w:hyperlink>
          </w:p>
        </w:tc>
        <w:tc>
          <w:tcPr>
            <w:tcW w:w="1480" w:type="dxa"/>
            <w:vAlign w:val="bottom"/>
            <w:tcBorders>
              <w:top w:val="single" w:sz="8" w:color="0000EE"/>
            </w:tcBorders>
            <w:gridSpan w:val="2"/>
          </w:tcPr>
          <w:p>
            <w:pPr>
              <w:spacing w:after="0"/>
              <w:rPr>
                <w:sz w:val="16"/>
                <w:szCs w:val="16"/>
                <w:color w:val="auto"/>
              </w:rPr>
            </w:pPr>
          </w:p>
        </w:tc>
        <w:tc>
          <w:tcPr>
            <w:tcW w:w="2500" w:type="dxa"/>
            <w:vAlign w:val="bottom"/>
          </w:tcPr>
          <w:p>
            <w:pPr>
              <w:spacing w:after="0"/>
              <w:rPr>
                <w:sz w:val="16"/>
                <w:szCs w:val="16"/>
                <w:color w:val="auto"/>
              </w:rPr>
            </w:pPr>
          </w:p>
        </w:tc>
        <w:tc>
          <w:tcPr>
            <w:tcW w:w="4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F-8</w:t>
            </w:r>
          </w:p>
        </w:tc>
      </w:tr>
      <w:tr>
        <w:trPr>
          <w:trHeight w:val="195"/>
        </w:trPr>
        <w:tc>
          <w:tcPr>
            <w:tcW w:w="10500" w:type="dxa"/>
            <w:vAlign w:val="bottom"/>
            <w:gridSpan w:val="8"/>
          </w:tcPr>
          <w:p>
            <w:pPr>
              <w:spacing w:after="0" w:line="195" w:lineRule="exact"/>
              <w:rPr>
                <w:rFonts w:ascii="Arial" w:cs="Arial" w:eastAsia="Arial" w:hAnsi="Arial"/>
                <w:sz w:val="18"/>
                <w:szCs w:val="18"/>
                <w:color w:val="0000EE"/>
              </w:rPr>
            </w:pPr>
            <w:hyperlink w:anchor="page220">
              <w:r>
                <w:rPr>
                  <w:rFonts w:ascii="Arial" w:cs="Arial" w:eastAsia="Arial" w:hAnsi="Arial"/>
                  <w:sz w:val="18"/>
                  <w:szCs w:val="18"/>
                  <w:color w:val="0000EE"/>
                </w:rPr>
                <w:t>Notes to Consolidated Financial Statements</w:t>
              </w:r>
            </w:hyperlink>
          </w:p>
        </w:tc>
        <w:tc>
          <w:tcPr>
            <w:tcW w:w="4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F-10</w:t>
            </w:r>
          </w:p>
        </w:tc>
      </w:tr>
      <w:tr>
        <w:trPr>
          <w:trHeight w:val="383"/>
        </w:trPr>
        <w:tc>
          <w:tcPr>
            <w:tcW w:w="5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80" w:type="dxa"/>
            <w:vAlign w:val="bottom"/>
            <w:gridSpan w:val="4"/>
          </w:tcPr>
          <w:p>
            <w:pPr>
              <w:ind w:left="7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40"/>
          </w:cols>
          <w:pgMar w:left="240" w:top="457" w:right="5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 the Board of Directors and Shareholders of Futu Holdings Limited</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5" w:lineRule="exact"/>
        <w:rPr>
          <w:sz w:val="20"/>
          <w:szCs w:val="20"/>
          <w:color w:val="auto"/>
        </w:rPr>
      </w:pPr>
    </w:p>
    <w:p>
      <w:pPr>
        <w:ind w:left="240" w:right="160"/>
        <w:spacing w:after="0" w:line="295" w:lineRule="auto"/>
        <w:rPr>
          <w:sz w:val="20"/>
          <w:szCs w:val="20"/>
          <w:color w:val="auto"/>
        </w:rPr>
      </w:pPr>
      <w:r>
        <w:rPr>
          <w:rFonts w:ascii="Arial" w:cs="Arial" w:eastAsia="Arial" w:hAnsi="Arial"/>
          <w:sz w:val="16"/>
          <w:szCs w:val="16"/>
          <w:color w:val="auto"/>
        </w:rPr>
        <w:t>We have audited the accompanying consolidated balance sheets of Futu Holdings Limited and its subsidiaries (the “Company”) as of December 31, 2017 and 2016, and the related consolidated statements of comprehensive loss, of changes in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5" w:lineRule="exact"/>
        <w:rPr>
          <w:sz w:val="20"/>
          <w:szCs w:val="20"/>
          <w:color w:val="auto"/>
        </w:rPr>
      </w:pPr>
    </w:p>
    <w:p>
      <w:pPr>
        <w:ind w:left="240" w:right="360"/>
        <w:spacing w:after="0" w:line="27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left="240"/>
        <w:spacing w:after="0" w:line="284"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ind w:left="240" w:right="8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PricewaterhouseCoopers Zhong Tian LLP</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Shenzhen, the People’s Republic of China</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October 19, 2018</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have served as the Company’s auditor since 2018.</w:t>
      </w:r>
    </w:p>
    <w:p>
      <w:pPr>
        <w:spacing w:after="0" w:line="1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240" w:top="457" w:right="5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BALANCE SHEETS</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As of December 31,</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4"/>
          </w:tcPr>
          <w:p>
            <w:pPr>
              <w:jc w:val="center"/>
              <w:ind w:right="80"/>
              <w:spacing w:after="0" w:line="14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20" w:type="dxa"/>
            <w:vAlign w:val="bottom"/>
            <w:vMerge w:val="restart"/>
          </w:tcPr>
          <w:p>
            <w:pPr>
              <w:ind w:left="1100"/>
              <w:spacing w:after="0"/>
              <w:rPr>
                <w:sz w:val="20"/>
                <w:szCs w:val="20"/>
                <w:color w:val="auto"/>
              </w:rPr>
            </w:pPr>
            <w:r>
              <w:rPr>
                <w:rFonts w:ascii="Arial" w:cs="Arial" w:eastAsia="Arial" w:hAnsi="Arial"/>
                <w:sz w:val="14"/>
                <w:szCs w:val="14"/>
                <w:color w:val="auto"/>
              </w:rPr>
              <w:t>Note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(Unaudited) (Note 28)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820" w:type="dxa"/>
            <w:vAlign w:val="bottom"/>
            <w:tcBorders>
              <w:top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235"/>
              <w:spacing w:after="0" w:line="141"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900" w:type="dxa"/>
            <w:vAlign w:val="bottom"/>
            <w:tcBorders>
              <w:top w:val="single" w:sz="8" w:color="auto"/>
            </w:tcBorders>
          </w:tcPr>
          <w:p>
            <w:pPr>
              <w:jc w:val="right"/>
              <w:ind w:right="214"/>
              <w:spacing w:after="0" w:line="14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Borders>
              <w:top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HK$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ind w:right="215"/>
              <w:spacing w:after="0" w:line="141" w:lineRule="exact"/>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2"/>
                <w:szCs w:val="12"/>
                <w:color w:val="auto"/>
              </w:rPr>
            </w:pPr>
          </w:p>
        </w:tc>
        <w:tc>
          <w:tcPr>
            <w:tcW w:w="820" w:type="dxa"/>
            <w:vAlign w:val="bottom"/>
            <w:tcBorders>
              <w:top w:val="single" w:sz="8" w:color="auto"/>
            </w:tcBorders>
          </w:tcPr>
          <w:p>
            <w:pPr>
              <w:jc w:val="right"/>
              <w:ind w:right="192"/>
              <w:spacing w:after="0" w:line="141" w:lineRule="exact"/>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2"/>
                <w:szCs w:val="12"/>
                <w:color w:val="auto"/>
              </w:rPr>
            </w:pPr>
          </w:p>
        </w:tc>
        <w:tc>
          <w:tcPr>
            <w:tcW w:w="900" w:type="dxa"/>
            <w:vAlign w:val="bottom"/>
            <w:tcBorders>
              <w:top w:val="single" w:sz="8" w:color="auto"/>
            </w:tcBorders>
          </w:tcPr>
          <w:p>
            <w:pPr>
              <w:jc w:val="right"/>
              <w:ind w:right="214"/>
              <w:spacing w:after="0" w:line="141" w:lineRule="exact"/>
              <w:rPr>
                <w:sz w:val="20"/>
                <w:szCs w:val="20"/>
                <w:color w:val="auto"/>
              </w:rPr>
            </w:pPr>
            <w:r>
              <w:rPr>
                <w:rFonts w:ascii="Arial" w:cs="Arial" w:eastAsia="Arial" w:hAnsi="Arial"/>
                <w:sz w:val="14"/>
                <w:szCs w:val="14"/>
                <w:b w:val="1"/>
                <w:bCs w:val="1"/>
                <w:color w:val="auto"/>
              </w:rPr>
              <w:t>HK$</w:t>
            </w:r>
          </w:p>
        </w:tc>
        <w:tc>
          <w:tcPr>
            <w:tcW w:w="280" w:type="dxa"/>
            <w:vAlign w:val="bottom"/>
          </w:tcPr>
          <w:p>
            <w:pPr>
              <w:spacing w:after="0"/>
              <w:rPr>
                <w:sz w:val="12"/>
                <w:szCs w:val="12"/>
                <w:color w:val="auto"/>
              </w:rPr>
            </w:pPr>
          </w:p>
        </w:tc>
        <w:tc>
          <w:tcPr>
            <w:tcW w:w="820" w:type="dxa"/>
            <w:vAlign w:val="bottom"/>
            <w:tcBorders>
              <w:top w:val="single" w:sz="8" w:color="auto"/>
            </w:tcBorders>
          </w:tcPr>
          <w:p>
            <w:pPr>
              <w:jc w:val="right"/>
              <w:ind w:right="192"/>
              <w:spacing w:after="0" w:line="141"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179,016</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375,263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48,032</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375,263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48,032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held on behalf of clients</w:t>
            </w:r>
          </w:p>
        </w:tc>
        <w:tc>
          <w:tcPr>
            <w:tcW w:w="1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3,345,172</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7,176,579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918,567</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7,176,579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918,567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Available-for-sale financial securities</w:t>
            </w:r>
          </w:p>
        </w:tc>
        <w:tc>
          <w:tcPr>
            <w:tcW w:w="17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8"/>
                <w:szCs w:val="18"/>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1720" w:type="dxa"/>
            <w:vAlign w:val="bottom"/>
            <w:shd w:val="clear" w:color="auto" w:fill="CCEEFF"/>
          </w:tcPr>
          <w:p>
            <w:pPr>
              <w:jc w:val="center"/>
              <w:ind w:left="713"/>
              <w:spacing w:after="0"/>
              <w:rPr>
                <w:sz w:val="20"/>
                <w:szCs w:val="20"/>
                <w:color w:val="auto"/>
              </w:rPr>
            </w:pPr>
            <w:r>
              <w:rPr>
                <w:rFonts w:ascii="Arial" w:cs="Arial" w:eastAsia="Arial" w:hAnsi="Arial"/>
                <w:sz w:val="18"/>
                <w:szCs w:val="18"/>
                <w:color w:val="auto"/>
                <w:w w:val="95"/>
              </w:rPr>
              <w:t>26(b)</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1,006</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6,541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837</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Loans and advances</w:t>
            </w:r>
          </w:p>
        </w:tc>
        <w:tc>
          <w:tcPr>
            <w:tcW w:w="1720" w:type="dxa"/>
            <w:vAlign w:val="bottom"/>
          </w:tcPr>
          <w:p>
            <w:pPr>
              <w:jc w:val="center"/>
              <w:ind w:left="713"/>
              <w:spacing w:after="0"/>
              <w:rPr>
                <w:sz w:val="20"/>
                <w:szCs w:val="20"/>
                <w:color w:val="auto"/>
              </w:rPr>
            </w:pPr>
            <w:r>
              <w:rPr>
                <w:rFonts w:ascii="Arial" w:cs="Arial" w:eastAsia="Arial" w:hAnsi="Arial"/>
                <w:sz w:val="18"/>
                <w:szCs w:val="18"/>
                <w:color w:val="auto"/>
                <w:w w:val="79"/>
              </w:rPr>
              <w:t>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126,163</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2,907,967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372,205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2,907,967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372,205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Clients</w:t>
            </w:r>
          </w:p>
        </w:tc>
        <w:tc>
          <w:tcPr>
            <w:tcW w:w="17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792,480</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218,960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28,026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218,960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28,026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Brokers</w:t>
            </w:r>
          </w:p>
        </w:tc>
        <w:tc>
          <w:tcPr>
            <w:tcW w:w="1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9,918</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106,078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13,577</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106,078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Clearing organization</w:t>
            </w:r>
          </w:p>
        </w:tc>
        <w:tc>
          <w:tcPr>
            <w:tcW w:w="17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9,614</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55,892</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7,154</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55,892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1,070</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7,041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Prepaid assets</w:t>
            </w:r>
          </w:p>
        </w:tc>
        <w:tc>
          <w:tcPr>
            <w:tcW w:w="17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4,932</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3,646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467</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3,646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20" w:type="dxa"/>
            <w:vAlign w:val="bottom"/>
            <w:shd w:val="clear" w:color="auto" w:fill="CCEEFF"/>
          </w:tcPr>
          <w:p>
            <w:pPr>
              <w:jc w:val="center"/>
              <w:ind w:left="713"/>
              <w:spacing w:after="0"/>
              <w:rPr>
                <w:sz w:val="20"/>
                <w:szCs w:val="20"/>
                <w:color w:val="auto"/>
              </w:rPr>
            </w:pPr>
            <w:r>
              <w:rPr>
                <w:rFonts w:ascii="Arial" w:cs="Arial" w:eastAsia="Arial" w:hAnsi="Arial"/>
                <w:sz w:val="18"/>
                <w:szCs w:val="18"/>
                <w:color w:val="auto"/>
                <w:w w:val="79"/>
              </w:rPr>
              <w:t>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45,876</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65,918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8,437</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65,918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8,437</w:t>
            </w: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4,517,483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10,923,885</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1,398,203</w:t>
            </w: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10,923,885</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1,398,203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720" w:type="dxa"/>
            <w:vAlign w:val="bottom"/>
          </w:tcPr>
          <w:p>
            <w:pPr>
              <w:jc w:val="center"/>
              <w:ind w:left="713"/>
              <w:spacing w:after="0"/>
              <w:rPr>
                <w:sz w:val="20"/>
                <w:szCs w:val="20"/>
                <w:color w:val="auto"/>
              </w:rPr>
            </w:pPr>
            <w:r>
              <w:rPr>
                <w:rFonts w:ascii="Arial" w:cs="Arial" w:eastAsia="Arial" w:hAnsi="Arial"/>
                <w:sz w:val="18"/>
                <w:szCs w:val="18"/>
                <w:color w:val="auto"/>
                <w:w w:val="95"/>
              </w:rPr>
              <w:t>26(d)</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6,479</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14,687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1,880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14,687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Payables:</w:t>
            </w:r>
          </w:p>
        </w:tc>
        <w:tc>
          <w:tcPr>
            <w:tcW w:w="1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Clients</w:t>
            </w:r>
          </w:p>
        </w:tc>
        <w:tc>
          <w:tcPr>
            <w:tcW w:w="17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4,107,782</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7,340,823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939,589</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7,340,823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939,589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Brokers</w:t>
            </w:r>
          </w:p>
        </w:tc>
        <w:tc>
          <w:tcPr>
            <w:tcW w:w="1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31,446</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929,692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118,996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929,692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Clearing organization</w:t>
            </w:r>
          </w:p>
        </w:tc>
        <w:tc>
          <w:tcPr>
            <w:tcW w:w="17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10,441</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82,878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10,608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82,878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2,481</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2,066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Short-term borrowings</w:t>
            </w:r>
          </w:p>
        </w:tc>
        <w:tc>
          <w:tcPr>
            <w:tcW w:w="1720" w:type="dxa"/>
            <w:vAlign w:val="bottom"/>
          </w:tcPr>
          <w:p>
            <w:pPr>
              <w:jc w:val="center"/>
              <w:ind w:left="713"/>
              <w:spacing w:after="0"/>
              <w:rPr>
                <w:sz w:val="20"/>
                <w:szCs w:val="20"/>
                <w:color w:val="auto"/>
              </w:rPr>
            </w:pPr>
            <w:r>
              <w:rPr>
                <w:rFonts w:ascii="Arial" w:cs="Arial" w:eastAsia="Arial" w:hAnsi="Arial"/>
                <w:sz w:val="18"/>
                <w:szCs w:val="18"/>
                <w:color w:val="auto"/>
                <w:w w:val="79"/>
              </w:rPr>
              <w:t>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161,179</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1,542,448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197,426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1,542,448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197,426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720" w:type="dxa"/>
            <w:vAlign w:val="bottom"/>
            <w:shd w:val="clear" w:color="auto" w:fill="CCEEFF"/>
          </w:tcPr>
          <w:p>
            <w:pPr>
              <w:jc w:val="center"/>
              <w:ind w:left="713"/>
              <w:spacing w:after="0"/>
              <w:rPr>
                <w:sz w:val="20"/>
                <w:szCs w:val="20"/>
                <w:color w:val="auto"/>
              </w:rPr>
            </w:pPr>
            <w:r>
              <w:rPr>
                <w:rFonts w:ascii="Arial" w:cs="Arial" w:eastAsia="Arial" w:hAnsi="Arial"/>
                <w:sz w:val="18"/>
                <w:szCs w:val="18"/>
                <w:color w:val="auto"/>
                <w:w w:val="79"/>
              </w:rPr>
              <w:t>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32,030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720" w:type="dxa"/>
            <w:vAlign w:val="bottom"/>
          </w:tcPr>
          <w:p>
            <w:pPr>
              <w:jc w:val="center"/>
              <w:ind w:left="693"/>
              <w:spacing w:after="0"/>
              <w:rPr>
                <w:sz w:val="20"/>
                <w:szCs w:val="20"/>
                <w:color w:val="auto"/>
              </w:rPr>
            </w:pPr>
            <w:r>
              <w:rPr>
                <w:rFonts w:ascii="Arial" w:cs="Arial" w:eastAsia="Arial" w:hAnsi="Arial"/>
                <w:sz w:val="18"/>
                <w:szCs w:val="18"/>
                <w:color w:val="auto"/>
                <w:w w:val="89"/>
              </w:rPr>
              <w:t>10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26,689</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60,717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7,771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60,717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4,378,527</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9,973,311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1,276,534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9,973,311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1,276,534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Commitments and contingencies</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25)</w:t>
      </w: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00"/>
          </w:cols>
          <w:pgMar w:left="240" w:top="458"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4"/>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60" w:type="dxa"/>
            <w:vAlign w:val="bottom"/>
            <w:vMerge w:val="restart"/>
          </w:tcPr>
          <w:p>
            <w:pPr>
              <w:jc w:val="right"/>
              <w:ind w:right="256"/>
              <w:spacing w:after="0"/>
              <w:rPr>
                <w:sz w:val="20"/>
                <w:szCs w:val="20"/>
                <w:color w:val="auto"/>
              </w:rPr>
            </w:pPr>
            <w:r>
              <w:rPr>
                <w:rFonts w:ascii="Arial" w:cs="Arial" w:eastAsia="Arial" w:hAnsi="Arial"/>
                <w:sz w:val="14"/>
                <w:szCs w:val="14"/>
                <w:color w:val="auto"/>
              </w:rPr>
              <w:t>Note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20" w:type="dxa"/>
            <w:vAlign w:val="bottom"/>
            <w:tcBorders>
              <w:top w:val="single" w:sz="8" w:color="auto"/>
            </w:tcBorders>
          </w:tcPr>
          <w:p>
            <w:pPr>
              <w:jc w:val="right"/>
              <w:ind w:right="235"/>
              <w:spacing w:after="0" w:line="141"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339"/>
              <w:spacing w:after="0" w:line="141"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320"/>
              <w:spacing w:after="0" w:line="141"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1"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tcBorders>
            <w:gridSpan w:val="2"/>
          </w:tcPr>
          <w:p>
            <w:pPr>
              <w:ind w:left="420"/>
              <w:spacing w:after="0" w:line="14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Borders>
              <w:top w:val="single" w:sz="8" w:color="auto"/>
            </w:tcBorders>
          </w:tcPr>
          <w:p>
            <w:pPr>
              <w:jc w:val="right"/>
              <w:ind w:right="215"/>
              <w:spacing w:after="0" w:line="141" w:lineRule="exact"/>
              <w:rPr>
                <w:sz w:val="20"/>
                <w:szCs w:val="20"/>
                <w:color w:val="auto"/>
              </w:rPr>
            </w:pPr>
            <w:r>
              <w:rPr>
                <w:rFonts w:ascii="Arial" w:cs="Arial" w:eastAsia="Arial" w:hAnsi="Arial"/>
                <w:sz w:val="14"/>
                <w:szCs w:val="14"/>
                <w:b w:val="1"/>
                <w:bCs w:val="1"/>
                <w:color w:val="auto"/>
              </w:rPr>
              <w:t>HK$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top w:val="single" w:sz="8" w:color="auto"/>
            </w:tcBorders>
          </w:tcPr>
          <w:p>
            <w:pPr>
              <w:jc w:val="right"/>
              <w:ind w:right="339"/>
              <w:spacing w:after="0" w:line="141" w:lineRule="exact"/>
              <w:rPr>
                <w:sz w:val="20"/>
                <w:szCs w:val="20"/>
                <w:color w:val="auto"/>
              </w:rPr>
            </w:pPr>
            <w:r>
              <w:rPr>
                <w:rFonts w:ascii="Arial" w:cs="Arial" w:eastAsia="Arial" w:hAnsi="Arial"/>
                <w:sz w:val="14"/>
                <w:szCs w:val="14"/>
                <w:b w:val="1"/>
                <w:bCs w:val="1"/>
                <w:color w:val="auto"/>
              </w:rPr>
              <w:t>HK$</w:t>
            </w:r>
          </w:p>
        </w:tc>
        <w:tc>
          <w:tcPr>
            <w:tcW w:w="280" w:type="dxa"/>
            <w:vAlign w:val="bottom"/>
          </w:tcPr>
          <w:p>
            <w:pPr>
              <w:spacing w:after="0"/>
              <w:rPr>
                <w:sz w:val="12"/>
                <w:szCs w:val="12"/>
                <w:color w:val="auto"/>
              </w:rPr>
            </w:pPr>
          </w:p>
        </w:tc>
        <w:tc>
          <w:tcPr>
            <w:tcW w:w="940" w:type="dxa"/>
            <w:vAlign w:val="bottom"/>
            <w:tcBorders>
              <w:top w:val="single" w:sz="8" w:color="auto"/>
            </w:tcBorders>
          </w:tcPr>
          <w:p>
            <w:pPr>
              <w:ind w:left="340"/>
              <w:spacing w:after="0" w:line="141" w:lineRule="exact"/>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1" w:lineRule="exact"/>
              <w:rPr>
                <w:sz w:val="20"/>
                <w:szCs w:val="20"/>
                <w:color w:val="auto"/>
              </w:rPr>
            </w:pPr>
            <w:r>
              <w:rPr>
                <w:rFonts w:ascii="Arial" w:cs="Arial" w:eastAsia="Arial" w:hAnsi="Arial"/>
                <w:sz w:val="14"/>
                <w:szCs w:val="14"/>
                <w:b w:val="1"/>
                <w:bCs w:val="1"/>
                <w:color w:val="auto"/>
              </w:rPr>
              <w:t>HK$</w:t>
            </w:r>
          </w:p>
        </w:tc>
        <w:tc>
          <w:tcPr>
            <w:tcW w:w="300" w:type="dxa"/>
            <w:vAlign w:val="bottom"/>
          </w:tcPr>
          <w:p>
            <w:pPr>
              <w:spacing w:after="0"/>
              <w:rPr>
                <w:sz w:val="12"/>
                <w:szCs w:val="12"/>
                <w:color w:val="auto"/>
              </w:rPr>
            </w:pPr>
          </w:p>
        </w:tc>
        <w:tc>
          <w:tcPr>
            <w:tcW w:w="520" w:type="dxa"/>
            <w:vAlign w:val="bottom"/>
            <w:tcBorders>
              <w:top w:val="single" w:sz="8" w:color="auto"/>
            </w:tcBorders>
          </w:tcPr>
          <w:p>
            <w:pPr>
              <w:ind w:left="120"/>
              <w:spacing w:after="0" w:line="141"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redeemable preferred shares ($0.00001 of par</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value per share; 125,000,000 and 125,000,000 shares</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w w:val="90"/>
              </w:rPr>
              <w:t>authorized, issued and outstanding as of December 31, 2016 and</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w w:val="91"/>
              </w:rPr>
              <w:t>2017, respectively; no shares issued and outstanding, pro forma)</w:t>
            </w:r>
          </w:p>
        </w:tc>
        <w:tc>
          <w:tcPr>
            <w:tcW w:w="7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61,506</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64,780</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8,292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A-1 convertible redeemable preferred shares ($0.00001 of</w:t>
            </w: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per share; 23,437,500 and 23,437,500 shares</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authorized, issued and outstanding as of December 31, 2016 and</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2017, respectively; no shares issued and outstanding, pro forma)</w:t>
            </w:r>
          </w:p>
        </w:tc>
        <w:tc>
          <w:tcPr>
            <w:tcW w:w="7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13,180</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13,881</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1"/>
              </w:rPr>
              <w:t>Series B convertible redeemable preferred shares ($0.00001 of par</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w w:val="93"/>
              </w:rPr>
              <w:t>value per share; 88,423,500 and 88,423,500 shares authorized,</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w w:val="99"/>
              </w:rPr>
              <w:t>issued and outstanding as of December 31, 2016 and 2017,</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respectively; no shares issued and outstanding, pro forma)</w:t>
            </w:r>
          </w:p>
        </w:tc>
        <w:tc>
          <w:tcPr>
            <w:tcW w:w="7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254,489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268,520</w:t>
            </w:r>
          </w:p>
        </w:tc>
        <w:tc>
          <w:tcPr>
            <w:tcW w:w="2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34,369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convertible redeemable preferred shares ($0.00001 of par</w:t>
            </w: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value per share; nil share authorized, issued and outstanding as</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of December 31, 2016; and 128,844,812 shares authorized,</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issued and outstanding as of December 31, 2017; no shares</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pro forma)</w:t>
            </w:r>
          </w:p>
        </w:tc>
        <w:tc>
          <w:tcPr>
            <w:tcW w:w="7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734,872</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94,060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4"/>
              </w:rPr>
              <w:t>Series C-1 convertible redeemable preferred shares ($0.00001 of</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w w:val="91"/>
              </w:rPr>
              <w:t>par value per share; nil share authorized, issued and outstanding</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w w:val="96"/>
              </w:rPr>
              <w:t>as of December 31, 2016; and 12,225,282 shares authorized,</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w w:val="98"/>
              </w:rPr>
              <w:t>issued and outstanding as of December 31, 2017; no shares</w:t>
            </w: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issued and outstanding, pro forma)</w:t>
            </w:r>
          </w:p>
        </w:tc>
        <w:tc>
          <w:tcPr>
            <w:tcW w:w="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101,422</w:t>
            </w:r>
          </w:p>
        </w:tc>
        <w:tc>
          <w:tcPr>
            <w:tcW w:w="2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12,982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329,175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1,183,475</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151,480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F-4</w:t>
            </w: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9"/>
              </w:rPr>
              <w:t>As of December 31,</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4"/>
          </w:tcPr>
          <w:p>
            <w:pPr>
              <w:jc w:val="center"/>
              <w:ind w:right="140"/>
              <w:spacing w:after="0" w:line="14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4"/>
                <w:szCs w:val="14"/>
                <w:color w:val="auto"/>
              </w:rPr>
              <w:t>Note</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60" w:type="dxa"/>
            <w:vAlign w:val="bottom"/>
            <w:tcBorders>
              <w:top w:val="single" w:sz="8" w:color="auto"/>
            </w:tcBorders>
          </w:tcPr>
          <w:p>
            <w:pPr>
              <w:jc w:val="right"/>
              <w:ind w:right="195"/>
              <w:spacing w:after="0" w:line="141"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36"/>
              <w:spacing w:after="0" w:line="141"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5"/>
              <w:spacing w:after="0" w:line="141"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259"/>
              <w:spacing w:after="0" w:line="141"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5"/>
              <w:spacing w:after="0" w:line="141"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top w:val="single" w:sz="8" w:color="auto"/>
            </w:tcBorders>
          </w:tcPr>
          <w:p>
            <w:pPr>
              <w:jc w:val="right"/>
              <w:ind w:right="195"/>
              <w:spacing w:after="0" w:line="141" w:lineRule="exact"/>
              <w:rPr>
                <w:sz w:val="20"/>
                <w:szCs w:val="20"/>
                <w:color w:val="auto"/>
              </w:rPr>
            </w:pPr>
            <w:r>
              <w:rPr>
                <w:rFonts w:ascii="Arial" w:cs="Arial" w:eastAsia="Arial" w:hAnsi="Arial"/>
                <w:sz w:val="14"/>
                <w:szCs w:val="14"/>
                <w:b w:val="1"/>
                <w:bCs w:val="1"/>
                <w:color w:val="auto"/>
              </w:rPr>
              <w:t>HK$</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jc w:val="right"/>
              <w:ind w:right="236"/>
              <w:spacing w:after="0" w:line="141" w:lineRule="exact"/>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right"/>
              <w:ind w:right="195"/>
              <w:spacing w:after="0" w:line="141"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ind w:right="259"/>
              <w:spacing w:after="0" w:line="141" w:lineRule="exact"/>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ind w:right="235"/>
              <w:spacing w:after="0" w:line="141"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Ordinary shares (US$0.00001 par value; 4,763,139,000 and</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94"/>
              </w:rPr>
              <w:t>4,622,068,906 shares authorized as of December 31, 2016 and</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90"/>
              </w:rPr>
              <w:t>2017, respectively; 403,750,000 shares issued and outstanding as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89"/>
              </w:rPr>
              <w:t>of December 31, 2016 and 2017, respectively; 781,681,094 shares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92"/>
              </w:rPr>
              <w:t>issued and outstanding on a pro forma basis as of December 31,</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2017)</w:t>
            </w:r>
          </w:p>
        </w:tc>
        <w:tc>
          <w:tcPr>
            <w:tcW w:w="500" w:type="dxa"/>
            <w:vAlign w:val="bottom"/>
          </w:tcPr>
          <w:p>
            <w:pPr>
              <w:jc w:val="right"/>
              <w:ind w:right="99"/>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1,183,445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151,476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(5,419)</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(2,053)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(2,053)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(187,331)</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(230,879)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(29,552)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(230,879)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(29,552)</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5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(190,219)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(232,901)</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(29,811)</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950,574</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liabilities, mezzanine equity and shareholders’</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(deficit)/equity</w:t>
            </w:r>
          </w:p>
        </w:tc>
        <w:tc>
          <w:tcPr>
            <w:tcW w:w="5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4,517,483</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10,923,885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1,398,203</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10,923,885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1,398,203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00"/>
          </w:cols>
          <w:pgMar w:left="240" w:top="458"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4"/>
                <w:szCs w:val="14"/>
                <w:color w:val="auto"/>
              </w:rPr>
              <w:t>Note</w:t>
            </w:r>
          </w:p>
        </w:tc>
        <w:tc>
          <w:tcPr>
            <w:tcW w:w="262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20" w:type="dxa"/>
            <w:vAlign w:val="bottom"/>
            <w:tcBorders>
              <w:bottom w:val="single" w:sz="8" w:color="auto"/>
            </w:tcBorders>
          </w:tcPr>
          <w:p>
            <w:pPr>
              <w:jc w:val="right"/>
              <w:ind w:right="272"/>
              <w:spacing w:after="0" w:line="141"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292"/>
              <w:spacing w:after="0" w:line="141"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2"/>
              <w:spacing w:after="0" w:line="141"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jc w:val="right"/>
              <w:ind w:right="272"/>
              <w:spacing w:after="0" w:line="141" w:lineRule="exact"/>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2"/>
                <w:szCs w:val="12"/>
                <w:color w:val="auto"/>
              </w:rPr>
            </w:pPr>
          </w:p>
        </w:tc>
        <w:tc>
          <w:tcPr>
            <w:tcW w:w="1040" w:type="dxa"/>
            <w:vAlign w:val="bottom"/>
          </w:tcPr>
          <w:p>
            <w:pPr>
              <w:jc w:val="right"/>
              <w:ind w:right="272"/>
              <w:spacing w:after="0" w:line="141" w:lineRule="exact"/>
              <w:rPr>
                <w:sz w:val="20"/>
                <w:szCs w:val="20"/>
                <w:color w:val="auto"/>
              </w:rPr>
            </w:pPr>
            <w:r>
              <w:rPr>
                <w:rFonts w:ascii="Arial" w:cs="Arial" w:eastAsia="Arial" w:hAnsi="Arial"/>
                <w:sz w:val="14"/>
                <w:szCs w:val="14"/>
                <w:b w:val="1"/>
                <w:bCs w:val="1"/>
                <w:color w:val="auto"/>
              </w:rPr>
              <w:t>HK$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12"/>
              <w:spacing w:after="0" w:line="141"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Brokerage commission and handling charge income</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74,498</w:t>
            </w:r>
          </w:p>
        </w:tc>
        <w:tc>
          <w:tcPr>
            <w:tcW w:w="1040" w:type="dxa"/>
            <w:vAlign w:val="bottom"/>
          </w:tcPr>
          <w:p>
            <w:pPr>
              <w:jc w:val="right"/>
              <w:spacing w:after="0"/>
              <w:rPr>
                <w:sz w:val="20"/>
                <w:szCs w:val="20"/>
                <w:color w:val="auto"/>
              </w:rPr>
            </w:pPr>
            <w:r>
              <w:rPr>
                <w:rFonts w:ascii="Arial" w:cs="Arial" w:eastAsia="Arial" w:hAnsi="Arial"/>
                <w:sz w:val="18"/>
                <w:szCs w:val="18"/>
                <w:color w:val="auto"/>
              </w:rPr>
              <w:t>184,918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23,669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income</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6,722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20,873</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87,015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311,663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39,892</w:t>
            </w:r>
          </w:p>
        </w:tc>
        <w:tc>
          <w:tcPr>
            <w:tcW w:w="0" w:type="dxa"/>
            <w:vAlign w:val="bottom"/>
          </w:tcPr>
          <w:p>
            <w:pPr>
              <w:spacing w:after="0"/>
              <w:rPr>
                <w:sz w:val="1"/>
                <w:szCs w:val="1"/>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Costs</w:t>
            </w:r>
          </w:p>
        </w:tc>
        <w:tc>
          <w:tcPr>
            <w:tcW w:w="7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Brokerage commission and handling charge expenses</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(18,730)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(36,777)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expenses</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(3,459)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(19,879)</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servicing costs</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(22,880)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(52,446)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Total costs</w:t>
            </w:r>
          </w:p>
        </w:tc>
        <w:tc>
          <w:tcPr>
            <w:tcW w:w="7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(45,069)</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(109,102)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gross profit</w:t>
            </w:r>
          </w:p>
        </w:tc>
        <w:tc>
          <w:tcPr>
            <w:tcW w:w="7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41,946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202,561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25,928</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(61,624)</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(95,526)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7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(59,198)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(41,446)</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(31,786)</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(57,293)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(7,333)</w:t>
            </w:r>
          </w:p>
        </w:tc>
        <w:tc>
          <w:tcPr>
            <w:tcW w:w="0" w:type="dxa"/>
            <w:vAlign w:val="bottom"/>
          </w:tcPr>
          <w:p>
            <w:pPr>
              <w:spacing w:after="0"/>
              <w:rPr>
                <w:sz w:val="1"/>
                <w:szCs w:val="1"/>
                <w:color w:val="auto"/>
              </w:rPr>
            </w:pP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7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(152,608)</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(194,265)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7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32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(Loss)/income before income tax benefit/(expense)</w:t>
            </w:r>
          </w:p>
        </w:tc>
        <w:tc>
          <w:tcPr>
            <w:tcW w:w="7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(111,747)</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3,378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13,276</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(11,480)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32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7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(98,471)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(8,102)</w:t>
            </w:r>
          </w:p>
        </w:tc>
        <w:tc>
          <w:tcPr>
            <w:tcW w:w="1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redemption value accretion</w:t>
            </w:r>
          </w:p>
        </w:tc>
        <w:tc>
          <w:tcPr>
            <w:tcW w:w="7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(17,929)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(47,715)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ordinary shareholder of the Company</w:t>
            </w:r>
          </w:p>
        </w:tc>
        <w:tc>
          <w:tcPr>
            <w:tcW w:w="7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(116,400)</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(55,817)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(loss)/income, net of tax</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(4,142)</w:t>
            </w:r>
          </w:p>
        </w:tc>
        <w:tc>
          <w:tcPr>
            <w:tcW w:w="1040" w:type="dxa"/>
            <w:vAlign w:val="bottom"/>
          </w:tcPr>
          <w:p>
            <w:pPr>
              <w:jc w:val="right"/>
              <w:spacing w:after="0"/>
              <w:rPr>
                <w:sz w:val="20"/>
                <w:szCs w:val="20"/>
                <w:color w:val="auto"/>
              </w:rPr>
            </w:pPr>
            <w:r>
              <w:rPr>
                <w:rFonts w:ascii="Arial" w:cs="Arial" w:eastAsia="Arial" w:hAnsi="Arial"/>
                <w:sz w:val="18"/>
                <w:szCs w:val="18"/>
                <w:color w:val="auto"/>
              </w:rPr>
              <w:t>3,366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7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(120,542)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(52,451)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(6,711)</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attributable to ordinary shareholder of the Company</w:t>
            </w:r>
          </w:p>
        </w:tc>
        <w:tc>
          <w:tcPr>
            <w:tcW w:w="720" w:type="dxa"/>
            <w:vAlign w:val="bottom"/>
            <w:vMerge w:val="restart"/>
          </w:tcPr>
          <w:p>
            <w:pPr>
              <w:jc w:val="right"/>
              <w:ind w:right="72"/>
              <w:spacing w:after="0"/>
              <w:rPr>
                <w:sz w:val="20"/>
                <w:szCs w:val="20"/>
                <w:color w:val="auto"/>
              </w:rPr>
            </w:pPr>
            <w:r>
              <w:rPr>
                <w:rFonts w:ascii="Arial" w:cs="Arial" w:eastAsia="Arial" w:hAnsi="Arial"/>
                <w:sz w:val="18"/>
                <w:szCs w:val="18"/>
                <w:color w:val="auto"/>
              </w:rPr>
              <w:t>14</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Diluted</w:t>
            </w:r>
          </w:p>
        </w:tc>
        <w:tc>
          <w:tcPr>
            <w:tcW w:w="7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Weighted average number of ordinary shares used in computing net loss per share</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403,750,000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403,750,000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403,750,000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403,750,000</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403,750,000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403,750,000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00"/>
          </w:cols>
          <w:pgMar w:left="240" w:top="458"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60" w:type="dxa"/>
            <w:vAlign w:val="bottom"/>
            <w:gridSpan w:val="4"/>
          </w:tcPr>
          <w:p>
            <w:pPr>
              <w:ind w:left="460"/>
              <w:spacing w:after="0"/>
              <w:rPr>
                <w:sz w:val="20"/>
                <w:szCs w:val="20"/>
                <w:color w:val="auto"/>
              </w:rPr>
            </w:pPr>
            <w:r>
              <w:rPr>
                <w:rFonts w:ascii="Arial" w:cs="Arial" w:eastAsia="Arial" w:hAnsi="Arial"/>
                <w:sz w:val="14"/>
                <w:szCs w:val="14"/>
                <w:b w:val="1"/>
                <w:bCs w:val="1"/>
                <w:color w:val="auto"/>
              </w:rPr>
              <w:t>Share capital</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vMerge w:val="restart"/>
          </w:tcPr>
          <w:p>
            <w:pPr>
              <w:ind w:left="20"/>
              <w:spacing w:after="0" w:line="112" w:lineRule="exact"/>
              <w:rPr>
                <w:sz w:val="20"/>
                <w:szCs w:val="20"/>
                <w:color w:val="auto"/>
              </w:rPr>
            </w:pPr>
            <w:r>
              <w:rPr>
                <w:rFonts w:ascii="Arial" w:cs="Arial" w:eastAsia="Arial" w:hAnsi="Arial"/>
                <w:sz w:val="12"/>
                <w:szCs w:val="12"/>
                <w:b w:val="1"/>
                <w:bCs w:val="1"/>
                <w:color w:val="auto"/>
              </w:rPr>
              <w:t>Additional</w:t>
            </w:r>
          </w:p>
        </w:tc>
        <w:tc>
          <w:tcPr>
            <w:tcW w:w="1220" w:type="dxa"/>
            <w:vAlign w:val="bottom"/>
            <w:gridSpan w:val="2"/>
            <w:vMerge w:val="restart"/>
          </w:tcPr>
          <w:p>
            <w:pPr>
              <w:jc w:val="center"/>
              <w:ind w:right="300"/>
              <w:spacing w:after="0" w:line="112" w:lineRule="exact"/>
              <w:rPr>
                <w:sz w:val="20"/>
                <w:szCs w:val="20"/>
                <w:color w:val="auto"/>
              </w:rPr>
            </w:pPr>
            <w:r>
              <w:rPr>
                <w:rFonts w:ascii="Arial" w:cs="Arial" w:eastAsia="Arial" w:hAnsi="Arial"/>
                <w:sz w:val="12"/>
                <w:szCs w:val="12"/>
                <w:b w:val="1"/>
                <w:bCs w:val="1"/>
                <w:color w:val="auto"/>
              </w:rPr>
              <w:t>other</w:t>
            </w: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3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Note</w:t>
            </w: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paid in</w:t>
            </w:r>
          </w:p>
        </w:tc>
        <w:tc>
          <w:tcPr>
            <w:tcW w:w="12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comprehensive</w:t>
            </w:r>
          </w:p>
        </w:tc>
        <w:tc>
          <w:tcPr>
            <w:tcW w:w="1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42"/>
              <w:spacing w:after="0"/>
              <w:rPr>
                <w:sz w:val="20"/>
                <w:szCs w:val="20"/>
                <w:color w:val="auto"/>
              </w:rPr>
            </w:pPr>
            <w:r>
              <w:rPr>
                <w:rFonts w:ascii="Arial" w:cs="Arial" w:eastAsia="Arial" w:hAnsi="Arial"/>
                <w:sz w:val="14"/>
                <w:szCs w:val="14"/>
                <w:b w:val="1"/>
                <w:bCs w:val="1"/>
                <w:color w:val="auto"/>
                <w:w w:val="91"/>
              </w:rPr>
              <w:t>Total equity</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(loss)/income</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2016</w:t>
            </w:r>
          </w:p>
        </w:tc>
        <w:tc>
          <w:tcPr>
            <w:tcW w:w="8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403,750,000</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11,274</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(1,277)</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(88,860)</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Loss for the year</w:t>
            </w:r>
          </w:p>
        </w:tc>
        <w:tc>
          <w:tcPr>
            <w:tcW w:w="86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(98,471)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(98,471)</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8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Preferred shares redemption value accretion</w:t>
            </w:r>
          </w:p>
        </w:tc>
        <w:tc>
          <w:tcPr>
            <w:tcW w:w="86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(17,929)</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(17,929)</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8"/>
              </w:rPr>
              <w:t>Foreign currency translation adjustment, net of tax</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(4,142)</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b w:val="1"/>
                <w:bCs w:val="1"/>
                <w:color w:val="auto"/>
              </w:rPr>
              <w:t>Balance at December 31, 2016</w:t>
            </w:r>
          </w:p>
        </w:tc>
        <w:tc>
          <w:tcPr>
            <w:tcW w:w="86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403,750,000</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(5,419)</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(187,331)</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(190,219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2017</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7"/>
              </w:rPr>
              <w:t>403,750,000</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2,500</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(5,419)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(187,331)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(190,219)</w:t>
            </w:r>
          </w:p>
        </w:tc>
        <w:tc>
          <w:tcPr>
            <w:tcW w:w="0" w:type="dxa"/>
            <w:vAlign w:val="bottom"/>
          </w:tcPr>
          <w:p>
            <w:pPr>
              <w:spacing w:after="0"/>
              <w:rPr>
                <w:sz w:val="1"/>
                <w:szCs w:val="1"/>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Loss for the year</w:t>
            </w:r>
          </w:p>
        </w:tc>
        <w:tc>
          <w:tcPr>
            <w:tcW w:w="86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(8,102)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(8,102)</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8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9,769</w:t>
            </w:r>
          </w:p>
        </w:tc>
        <w:tc>
          <w:tcPr>
            <w:tcW w:w="0" w:type="dxa"/>
            <w:vAlign w:val="bottom"/>
          </w:tcPr>
          <w:p>
            <w:pPr>
              <w:spacing w:after="0"/>
              <w:rPr>
                <w:sz w:val="1"/>
                <w:szCs w:val="1"/>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Preferred shares redemption value accretion</w:t>
            </w:r>
          </w:p>
        </w:tc>
        <w:tc>
          <w:tcPr>
            <w:tcW w:w="86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(12,269)</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(35,446)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(47,715)</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8"/>
              </w:rPr>
              <w:t>Foreign currency translation adjustment, net of tax</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86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403,750,000</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(2,053)</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(230,879)</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(232,901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58"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340" w:type="dxa"/>
            <w:vAlign w:val="bottom"/>
            <w:vMerge w:val="restart"/>
          </w:tcPr>
          <w:p>
            <w:pPr>
              <w:jc w:val="right"/>
              <w:ind w:right="199"/>
              <w:spacing w:after="0"/>
              <w:rPr>
                <w:sz w:val="20"/>
                <w:szCs w:val="20"/>
                <w:color w:val="auto"/>
              </w:rPr>
            </w:pPr>
            <w:r>
              <w:rPr>
                <w:rFonts w:ascii="Arial" w:cs="Arial" w:eastAsia="Arial" w:hAnsi="Arial"/>
                <w:sz w:val="14"/>
                <w:szCs w:val="14"/>
                <w:color w:val="auto"/>
              </w:rPr>
              <w:t>Note</w:t>
            </w:r>
          </w:p>
        </w:tc>
        <w:tc>
          <w:tcPr>
            <w:tcW w:w="23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4"/>
              </w:rPr>
              <w:t>Year Ended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800" w:type="dxa"/>
            <w:vAlign w:val="bottom"/>
            <w:tcBorders>
              <w:bottom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1"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Pr>
          <w:p>
            <w:pPr>
              <w:jc w:val="right"/>
              <w:ind w:right="172"/>
              <w:spacing w:after="0" w:line="141" w:lineRule="exact"/>
              <w:rPr>
                <w:sz w:val="20"/>
                <w:szCs w:val="20"/>
                <w:color w:val="auto"/>
              </w:rPr>
            </w:pPr>
            <w:r>
              <w:rPr>
                <w:rFonts w:ascii="Arial" w:cs="Arial" w:eastAsia="Arial" w:hAnsi="Arial"/>
                <w:sz w:val="14"/>
                <w:szCs w:val="14"/>
                <w:b w:val="1"/>
                <w:bCs w:val="1"/>
                <w:color w:val="auto"/>
              </w:rPr>
              <w:t>HK$</w:t>
            </w:r>
          </w:p>
        </w:tc>
        <w:tc>
          <w:tcPr>
            <w:tcW w:w="320" w:type="dxa"/>
            <w:vAlign w:val="bottom"/>
          </w:tcPr>
          <w:p>
            <w:pPr>
              <w:spacing w:after="0"/>
              <w:rPr>
                <w:sz w:val="12"/>
                <w:szCs w:val="12"/>
                <w:color w:val="auto"/>
              </w:rPr>
            </w:pPr>
          </w:p>
        </w:tc>
        <w:tc>
          <w:tcPr>
            <w:tcW w:w="880" w:type="dxa"/>
            <w:vAlign w:val="bottom"/>
          </w:tcPr>
          <w:p>
            <w:pPr>
              <w:jc w:val="right"/>
              <w:ind w:right="212"/>
              <w:spacing w:after="0" w:line="141" w:lineRule="exact"/>
              <w:rPr>
                <w:sz w:val="20"/>
                <w:szCs w:val="20"/>
                <w:color w:val="auto"/>
              </w:rPr>
            </w:pPr>
            <w:r>
              <w:rPr>
                <w:rFonts w:ascii="Arial" w:cs="Arial" w:eastAsia="Arial" w:hAnsi="Arial"/>
                <w:sz w:val="14"/>
                <w:szCs w:val="14"/>
                <w:b w:val="1"/>
                <w:bCs w:val="1"/>
                <w:color w:val="auto"/>
              </w:rPr>
              <w:t>HK$</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172"/>
              <w:spacing w:after="0" w:line="141"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3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(98,471)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(8,102)</w:t>
            </w:r>
          </w:p>
        </w:tc>
        <w:tc>
          <w:tcPr>
            <w:tcW w:w="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3,576</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4,300</w:t>
            </w:r>
          </w:p>
        </w:tc>
        <w:tc>
          <w:tcPr>
            <w:tcW w:w="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(21,625)</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40" w:type="dxa"/>
            <w:vAlign w:val="bottom"/>
          </w:tcPr>
          <w:p>
            <w:pPr>
              <w:jc w:val="right"/>
              <w:ind w:right="199"/>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9,155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9,769</w:t>
            </w:r>
          </w:p>
        </w:tc>
        <w:tc>
          <w:tcPr>
            <w:tcW w:w="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available-for-sale financial securities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2"/>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Changes in operating assets:</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amounts due from related parties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(5,535)</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 in loans and advances</w:t>
            </w:r>
          </w:p>
        </w:tc>
        <w:tc>
          <w:tcPr>
            <w:tcW w:w="13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(126,163)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(2,781,804)</w:t>
            </w:r>
          </w:p>
        </w:tc>
        <w:tc>
          <w:tcPr>
            <w:tcW w:w="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(356,057)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accounts receivable from clients and brokers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(566,658)</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477,360</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 in accounts receivable from clearing organization</w:t>
            </w:r>
          </w:p>
        </w:tc>
        <w:tc>
          <w:tcPr>
            <w:tcW w:w="13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(9,601)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(46,278)</w:t>
            </w:r>
          </w:p>
        </w:tc>
        <w:tc>
          <w:tcPr>
            <w:tcW w:w="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interest receivable</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(5,971)</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(increase)/decrease in prepaid assets</w:t>
            </w:r>
          </w:p>
        </w:tc>
        <w:tc>
          <w:tcPr>
            <w:tcW w:w="13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(3,693)</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1,286</w:t>
            </w:r>
          </w:p>
        </w:tc>
        <w:tc>
          <w:tcPr>
            <w:tcW w:w="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other assets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(17,033)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(13,965)</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322"/>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Changes in operating liabilities:</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amounts due to related parties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4,579</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8,208</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 in accounts payable to clients and brokers</w:t>
            </w:r>
          </w:p>
        </w:tc>
        <w:tc>
          <w:tcPr>
            <w:tcW w:w="13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2,201,564</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4,131,287</w:t>
            </w:r>
          </w:p>
        </w:tc>
        <w:tc>
          <w:tcPr>
            <w:tcW w:w="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528,784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accounts payable to clearing organization</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(13,532)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72,437</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 in payroll and welfare payable</w:t>
            </w:r>
          </w:p>
        </w:tc>
        <w:tc>
          <w:tcPr>
            <w:tcW w:w="13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6,552</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22,838</w:t>
            </w:r>
          </w:p>
        </w:tc>
        <w:tc>
          <w:tcPr>
            <w:tcW w:w="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interest payable</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(415)</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 in other liabilities</w:t>
            </w:r>
          </w:p>
        </w:tc>
        <w:tc>
          <w:tcPr>
            <w:tcW w:w="13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w:t>
            </w: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generated from operating activities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7"/>
              </w:rPr>
              <w:t>1,397,692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1,855,328</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237,475</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 and intangible assets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Purchase of property and equipment and intangible assets</w:t>
            </w:r>
          </w:p>
        </w:tc>
        <w:tc>
          <w:tcPr>
            <w:tcW w:w="13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(4,038)</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(7,413)</w:t>
            </w:r>
          </w:p>
        </w:tc>
        <w:tc>
          <w:tcPr>
            <w:tcW w:w="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(purchase)/proceeds from disposal of available-for-sale financial securities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(2,236)</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2,236</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Interest received from available-for-sale financial securities</w:t>
            </w:r>
          </w:p>
        </w:tc>
        <w:tc>
          <w:tcPr>
            <w:tcW w:w="13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(6,230)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(5,145)</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(658)</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6420" w:type="dxa"/>
            <w:vAlign w:val="bottom"/>
          </w:tcPr>
          <w:p>
            <w:pPr>
              <w:ind w:left="5320"/>
              <w:spacing w:after="0"/>
              <w:rPr>
                <w:sz w:val="20"/>
                <w:szCs w:val="20"/>
                <w:color w:val="auto"/>
              </w:rPr>
            </w:pPr>
            <w:r>
              <w:rPr>
                <w:rFonts w:ascii="Arial" w:cs="Arial" w:eastAsia="Arial" w:hAnsi="Arial"/>
                <w:sz w:val="18"/>
                <w:szCs w:val="18"/>
                <w:color w:val="auto"/>
              </w:rPr>
              <w:t>F-8</w:t>
            </w:r>
          </w:p>
        </w:tc>
        <w:tc>
          <w:tcPr>
            <w:tcW w:w="13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760" w:type="dxa"/>
            <w:vAlign w:val="bottom"/>
            <w:vMerge w:val="restart"/>
          </w:tcPr>
          <w:p>
            <w:pPr>
              <w:ind w:left="7200"/>
              <w:spacing w:after="0"/>
              <w:rPr>
                <w:sz w:val="20"/>
                <w:szCs w:val="20"/>
                <w:color w:val="auto"/>
              </w:rPr>
            </w:pPr>
            <w:r>
              <w:rPr>
                <w:rFonts w:ascii="Arial" w:cs="Arial" w:eastAsia="Arial" w:hAnsi="Arial"/>
                <w:sz w:val="14"/>
                <w:szCs w:val="14"/>
                <w:color w:val="auto"/>
              </w:rPr>
              <w:t>Note</w:t>
            </w:r>
          </w:p>
        </w:tc>
        <w:tc>
          <w:tcPr>
            <w:tcW w:w="23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4"/>
              </w:rPr>
              <w:t>Year Ended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760" w:type="dxa"/>
            <w:vAlign w:val="bottom"/>
            <w:vMerge w:val="continue"/>
          </w:tcPr>
          <w:p>
            <w:pPr>
              <w:spacing w:after="0"/>
              <w:rPr>
                <w:sz w:val="12"/>
                <w:szCs w:val="12"/>
                <w:color w:val="auto"/>
              </w:rPr>
            </w:pPr>
          </w:p>
        </w:tc>
        <w:tc>
          <w:tcPr>
            <w:tcW w:w="800" w:type="dxa"/>
            <w:vAlign w:val="bottom"/>
            <w:tcBorders>
              <w:bottom w:val="single" w:sz="8" w:color="auto"/>
            </w:tcBorders>
          </w:tcPr>
          <w:p>
            <w:pPr>
              <w:jc w:val="right"/>
              <w:ind w:right="173"/>
              <w:spacing w:after="0" w:line="141"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820" w:type="dxa"/>
            <w:vAlign w:val="bottom"/>
            <w:tcBorders>
              <w:bottom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2"/>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800" w:type="dxa"/>
            <w:vAlign w:val="bottom"/>
          </w:tcPr>
          <w:p>
            <w:pPr>
              <w:jc w:val="right"/>
              <w:ind w:right="173"/>
              <w:spacing w:after="0" w:line="141" w:lineRule="exact"/>
              <w:rPr>
                <w:sz w:val="20"/>
                <w:szCs w:val="20"/>
                <w:color w:val="auto"/>
              </w:rPr>
            </w:pPr>
            <w:r>
              <w:rPr>
                <w:rFonts w:ascii="Arial" w:cs="Arial" w:eastAsia="Arial" w:hAnsi="Arial"/>
                <w:sz w:val="14"/>
                <w:szCs w:val="14"/>
                <w:b w:val="1"/>
                <w:bCs w:val="1"/>
                <w:color w:val="auto"/>
              </w:rPr>
              <w:t>HK$</w:t>
            </w:r>
          </w:p>
        </w:tc>
        <w:tc>
          <w:tcPr>
            <w:tcW w:w="340" w:type="dxa"/>
            <w:vAlign w:val="bottom"/>
          </w:tcPr>
          <w:p>
            <w:pPr>
              <w:spacing w:after="0"/>
              <w:rPr>
                <w:sz w:val="12"/>
                <w:szCs w:val="12"/>
                <w:color w:val="auto"/>
              </w:rPr>
            </w:pPr>
          </w:p>
        </w:tc>
        <w:tc>
          <w:tcPr>
            <w:tcW w:w="820" w:type="dxa"/>
            <w:vAlign w:val="bottom"/>
          </w:tcPr>
          <w:p>
            <w:pPr>
              <w:jc w:val="right"/>
              <w:ind w:right="172"/>
              <w:spacing w:after="0" w:line="141" w:lineRule="exact"/>
              <w:rPr>
                <w:sz w:val="20"/>
                <w:szCs w:val="20"/>
                <w:color w:val="auto"/>
              </w:rPr>
            </w:pPr>
            <w:r>
              <w:rPr>
                <w:rFonts w:ascii="Arial" w:cs="Arial" w:eastAsia="Arial" w:hAnsi="Arial"/>
                <w:sz w:val="14"/>
                <w:szCs w:val="14"/>
                <w:b w:val="1"/>
                <w:bCs w:val="1"/>
                <w:color w:val="auto"/>
              </w:rPr>
              <w:t>HK$</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72"/>
              <w:spacing w:after="0" w:line="141"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issuance of Series C preferred shares and Series C-1 preferred shares</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620,625</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79,437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147,594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2,518,185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Repayment of short-term borrowings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(982,964)</w:t>
            </w: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(125,816)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147,594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2,155,846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275,936</w:t>
            </w:r>
          </w:p>
        </w:tc>
        <w:tc>
          <w:tcPr>
            <w:tcW w:w="0" w:type="dxa"/>
            <w:vAlign w:val="bottom"/>
          </w:tcPr>
          <w:p>
            <w:pPr>
              <w:spacing w:after="0"/>
              <w:rPr>
                <w:sz w:val="1"/>
                <w:szCs w:val="1"/>
                <w:color w:val="auto"/>
              </w:rPr>
            </w:pPr>
          </w:p>
        </w:tc>
      </w:tr>
      <w:tr>
        <w:trPr>
          <w:trHeight w:val="229"/>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21,625</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1,539,133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4,027,654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515,521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1,985,055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3,524,188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451,078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the year</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3,524,188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7,551,842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966,599</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179,016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375,263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Cash held on behalf of clients</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3,345,172</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7,176,579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918,567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the year</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3,524,188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7,551,842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966,599</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Accretion to preferred shares redemption value</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17,929</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Issuance of Series C preferred shares from conversion of the convertible notes</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32,345</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C preferred shares from repayment of short-term borrowings</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153,896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19,698</w:t>
            </w:r>
          </w:p>
        </w:tc>
        <w:tc>
          <w:tcPr>
            <w:tcW w:w="0" w:type="dxa"/>
            <w:vAlign w:val="bottom"/>
          </w:tcPr>
          <w:p>
            <w:pPr>
              <w:spacing w:after="0"/>
              <w:rPr>
                <w:sz w:val="1"/>
                <w:szCs w:val="1"/>
                <w:color w:val="auto"/>
              </w:rPr>
            </w:pPr>
          </w:p>
        </w:tc>
      </w:tr>
      <w:tr>
        <w:trPr>
          <w:trHeight w:val="322"/>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tax paid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(8,693)</w:t>
            </w:r>
          </w:p>
        </w:tc>
        <w:tc>
          <w:tcPr>
            <w:tcW w:w="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57"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0" w:lineRule="exact"/>
        <w:rPr>
          <w:sz w:val="20"/>
          <w:szCs w:val="20"/>
          <w:color w:val="auto"/>
        </w:rPr>
      </w:pPr>
    </w:p>
    <w:p>
      <w:pPr>
        <w:ind w:left="660" w:hanging="424"/>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19" w:lineRule="exact"/>
        <w:rPr>
          <w:sz w:val="20"/>
          <w:szCs w:val="20"/>
          <w:color w:val="auto"/>
        </w:rPr>
      </w:pPr>
    </w:p>
    <w:p>
      <w:pPr>
        <w:ind w:left="240" w:right="20" w:firstLine="438"/>
        <w:spacing w:after="0" w:line="255" w:lineRule="auto"/>
        <w:rPr>
          <w:sz w:val="20"/>
          <w:szCs w:val="20"/>
          <w:color w:val="auto"/>
        </w:rPr>
      </w:pPr>
      <w:r>
        <w:rPr>
          <w:rFonts w:ascii="Arial" w:cs="Arial" w:eastAsia="Arial" w:hAnsi="Arial"/>
          <w:sz w:val="18"/>
          <w:szCs w:val="18"/>
          <w:color w:val="auto"/>
        </w:rPr>
        <w:t>Futu Holdings Limited (the “Company”) is an investment holding company incorporated in the Cayman Islands with limited liability and conducts its business mainly through its subsidiaries, variable interest entity (“VIE”) and subsidiary of the VIE (collectively referred to as the “Group”). The Group principally engages in online financial services and provides financial transaction services including securities brokerage and margin financing based on independently developed software and websites like “Futu NiuNiu” mobile app. The Group also provides financial information and online community services, etc.</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December 31, 2017, the Company’s principal subsidiaries, consolidated VIE and subsidiary of VIE are as follows:</w:t>
      </w:r>
    </w:p>
    <w:p>
      <w:pPr>
        <w:sectPr>
          <w:pgSz w:w="11900" w:h="16838" w:orient="portrait"/>
          <w:cols w:equalWidth="0" w:num="1">
            <w:col w:w="11200"/>
          </w:cols>
          <w:pgMar w:left="240" w:top="45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16510</wp:posOffset>
            </wp:positionV>
            <wp:extent cx="6957695" cy="273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57695" cy="273050"/>
                    </a:xfrm>
                    <a:prstGeom prst="rect">
                      <a:avLst/>
                    </a:prstGeom>
                    <a:noFill/>
                  </pic:spPr>
                </pic:pic>
              </a:graphicData>
            </a:graphic>
          </wp:anchor>
        </w:drawing>
      </w:r>
    </w:p>
    <w:p>
      <w:pPr>
        <w:spacing w:after="0" w:line="6" w:lineRule="exact"/>
        <w:rPr>
          <w:sz w:val="20"/>
          <w:szCs w:val="20"/>
          <w:color w:val="auto"/>
        </w:rPr>
      </w:pPr>
    </w:p>
    <w:p>
      <w:pPr>
        <w:ind w:left="420" w:hanging="178"/>
        <w:spacing w:after="0" w:line="249" w:lineRule="auto"/>
        <w:rPr>
          <w:sz w:val="20"/>
          <w:szCs w:val="20"/>
          <w:color w:val="auto"/>
        </w:rPr>
      </w:pPr>
      <w:r>
        <w:rPr>
          <w:rFonts w:ascii="Arial" w:cs="Arial" w:eastAsia="Arial" w:hAnsi="Arial"/>
          <w:sz w:val="18"/>
          <w:szCs w:val="18"/>
          <w:color w:val="auto"/>
        </w:rPr>
        <w:t>Futu Securities International (Hong Kong) Limited (“Futu Securities” or the “Operating Company”)</w:t>
      </w:r>
    </w:p>
    <w:p>
      <w:pPr>
        <w:ind w:left="240"/>
        <w:spacing w:after="0"/>
        <w:rPr>
          <w:sz w:val="20"/>
          <w:szCs w:val="20"/>
          <w:color w:val="auto"/>
        </w:rPr>
      </w:pPr>
      <w:r>
        <w:rPr>
          <w:rFonts w:ascii="Arial" w:cs="Arial" w:eastAsia="Arial" w:hAnsi="Arial"/>
          <w:sz w:val="18"/>
          <w:szCs w:val="18"/>
          <w:color w:val="auto"/>
        </w:rPr>
        <w:t>Futu Securities (Hong Kong) Limited</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Futu Network Technology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-121920</wp:posOffset>
            </wp:positionV>
            <wp:extent cx="6957695" cy="545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57695"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Futu Network Technology (Shenzhen) Co., Ltd.</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jc w:val="center"/>
              <w:ind w:right="101"/>
              <w:spacing w:after="0"/>
              <w:rPr>
                <w:sz w:val="20"/>
                <w:szCs w:val="20"/>
                <w:color w:val="auto"/>
              </w:rPr>
            </w:pPr>
            <w:r>
              <w:rPr>
                <w:rFonts w:ascii="Arial" w:cs="Arial" w:eastAsia="Arial" w:hAnsi="Arial"/>
                <w:sz w:val="14"/>
                <w:szCs w:val="14"/>
                <w:b w:val="1"/>
                <w:bCs w:val="1"/>
                <w:color w:val="auto"/>
                <w:w w:val="90"/>
              </w:rPr>
              <w:t>Percentage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center"/>
              <w:ind w:right="101"/>
              <w:spacing w:after="0" w:line="148" w:lineRule="exact"/>
              <w:rPr>
                <w:sz w:val="20"/>
                <w:szCs w:val="20"/>
                <w:color w:val="auto"/>
              </w:rPr>
            </w:pPr>
            <w:r>
              <w:rPr>
                <w:rFonts w:ascii="Arial" w:cs="Arial" w:eastAsia="Arial" w:hAnsi="Arial"/>
                <w:sz w:val="14"/>
                <w:szCs w:val="14"/>
                <w:b w:val="1"/>
                <w:bCs w:val="1"/>
                <w:color w:val="auto"/>
                <w:w w:val="90"/>
              </w:rPr>
              <w:t>of</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jc w:val="center"/>
              <w:ind w:right="101"/>
              <w:spacing w:after="0" w:line="148" w:lineRule="exact"/>
              <w:rPr>
                <w:sz w:val="20"/>
                <w:szCs w:val="20"/>
                <w:color w:val="auto"/>
              </w:rPr>
            </w:pPr>
            <w:r>
              <w:rPr>
                <w:rFonts w:ascii="Arial" w:cs="Arial" w:eastAsia="Arial" w:hAnsi="Arial"/>
                <w:sz w:val="14"/>
                <w:szCs w:val="14"/>
                <w:b w:val="1"/>
                <w:bCs w:val="1"/>
                <w:color w:val="auto"/>
                <w:w w:val="97"/>
              </w:rPr>
              <w:t>Direct or</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jc w:val="center"/>
              <w:ind w:right="136"/>
              <w:spacing w:after="0" w:line="157" w:lineRule="exact"/>
              <w:rPr>
                <w:sz w:val="20"/>
                <w:szCs w:val="20"/>
                <w:color w:val="auto"/>
              </w:rPr>
            </w:pPr>
            <w:r>
              <w:rPr>
                <w:rFonts w:ascii="Arial" w:cs="Arial" w:eastAsia="Arial" w:hAnsi="Arial"/>
                <w:sz w:val="14"/>
                <w:szCs w:val="14"/>
                <w:b w:val="1"/>
                <w:bCs w:val="1"/>
                <w:color w:val="auto"/>
                <w:w w:val="92"/>
              </w:rPr>
              <w:t>Date of</w:t>
            </w:r>
          </w:p>
        </w:tc>
        <w:tc>
          <w:tcPr>
            <w:tcW w:w="1160" w:type="dxa"/>
            <w:vAlign w:val="bottom"/>
          </w:tcPr>
          <w:p>
            <w:pPr>
              <w:jc w:val="right"/>
              <w:ind w:right="255"/>
              <w:spacing w:after="0" w:line="157" w:lineRule="exact"/>
              <w:rPr>
                <w:sz w:val="20"/>
                <w:szCs w:val="20"/>
                <w:color w:val="auto"/>
              </w:rPr>
            </w:pPr>
            <w:r>
              <w:rPr>
                <w:rFonts w:ascii="Arial" w:cs="Arial" w:eastAsia="Arial" w:hAnsi="Arial"/>
                <w:sz w:val="14"/>
                <w:szCs w:val="14"/>
                <w:b w:val="1"/>
                <w:bCs w:val="1"/>
                <w:color w:val="auto"/>
              </w:rPr>
              <w:t>Place of</w:t>
            </w:r>
          </w:p>
        </w:tc>
        <w:tc>
          <w:tcPr>
            <w:tcW w:w="1140" w:type="dxa"/>
            <w:vAlign w:val="bottom"/>
          </w:tcPr>
          <w:p>
            <w:pPr>
              <w:jc w:val="center"/>
              <w:ind w:right="101"/>
              <w:spacing w:after="0" w:line="157" w:lineRule="exact"/>
              <w:rPr>
                <w:sz w:val="20"/>
                <w:szCs w:val="20"/>
                <w:color w:val="auto"/>
              </w:rPr>
            </w:pPr>
            <w:r>
              <w:rPr>
                <w:rFonts w:ascii="Arial" w:cs="Arial" w:eastAsia="Arial" w:hAnsi="Arial"/>
                <w:sz w:val="14"/>
                <w:szCs w:val="14"/>
                <w:b w:val="1"/>
                <w:bCs w:val="1"/>
                <w:color w:val="auto"/>
                <w:w w:val="94"/>
              </w:rPr>
              <w:t>Indirect</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jc w:val="center"/>
              <w:ind w:right="156"/>
              <w:spacing w:after="0" w:line="148" w:lineRule="exact"/>
              <w:rPr>
                <w:sz w:val="20"/>
                <w:szCs w:val="20"/>
                <w:color w:val="auto"/>
              </w:rPr>
            </w:pPr>
            <w:r>
              <w:rPr>
                <w:rFonts w:ascii="Arial" w:cs="Arial" w:eastAsia="Arial" w:hAnsi="Arial"/>
                <w:sz w:val="14"/>
                <w:szCs w:val="14"/>
                <w:b w:val="1"/>
                <w:bCs w:val="1"/>
                <w:color w:val="auto"/>
                <w:w w:val="95"/>
              </w:rPr>
              <w:t>Incorporation/</w:t>
            </w:r>
          </w:p>
        </w:tc>
        <w:tc>
          <w:tcPr>
            <w:tcW w:w="116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rPr>
              <w:t>Incorporation/</w:t>
            </w:r>
          </w:p>
        </w:tc>
        <w:tc>
          <w:tcPr>
            <w:tcW w:w="1140" w:type="dxa"/>
            <w:vAlign w:val="bottom"/>
          </w:tcPr>
          <w:p>
            <w:pPr>
              <w:jc w:val="center"/>
              <w:ind w:right="101"/>
              <w:spacing w:after="0" w:line="148" w:lineRule="exact"/>
              <w:rPr>
                <w:sz w:val="20"/>
                <w:szCs w:val="20"/>
                <w:color w:val="auto"/>
              </w:rPr>
            </w:pPr>
            <w:r>
              <w:rPr>
                <w:rFonts w:ascii="Arial" w:cs="Arial" w:eastAsia="Arial" w:hAnsi="Arial"/>
                <w:sz w:val="14"/>
                <w:szCs w:val="14"/>
                <w:b w:val="1"/>
                <w:bCs w:val="1"/>
                <w:color w:val="auto"/>
                <w:w w:val="89"/>
              </w:rPr>
              <w:t>Economic</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0"/>
        </w:trPr>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Establishment</w:t>
            </w:r>
          </w:p>
        </w:tc>
        <w:tc>
          <w:tcPr>
            <w:tcW w:w="1160" w:type="dxa"/>
            <w:vAlign w:val="bottom"/>
          </w:tcPr>
          <w:p>
            <w:pPr>
              <w:jc w:val="right"/>
              <w:ind w:right="55"/>
              <w:spacing w:after="0"/>
              <w:rPr>
                <w:sz w:val="20"/>
                <w:szCs w:val="20"/>
                <w:color w:val="auto"/>
              </w:rPr>
            </w:pPr>
            <w:r>
              <w:rPr>
                <w:rFonts w:ascii="Arial" w:cs="Arial" w:eastAsia="Arial" w:hAnsi="Arial"/>
                <w:sz w:val="14"/>
                <w:szCs w:val="14"/>
                <w:b w:val="1"/>
                <w:bCs w:val="1"/>
                <w:color w:val="auto"/>
              </w:rPr>
              <w:t>Establishment</w:t>
            </w:r>
          </w:p>
        </w:tc>
        <w:tc>
          <w:tcPr>
            <w:tcW w:w="114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Interest</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140" w:type="dxa"/>
            <w:vAlign w:val="bottom"/>
          </w:tcPr>
          <w:p>
            <w:pPr>
              <w:jc w:val="right"/>
              <w:ind w:right="56"/>
              <w:spacing w:after="0"/>
              <w:rPr>
                <w:sz w:val="20"/>
                <w:szCs w:val="20"/>
                <w:color w:val="auto"/>
              </w:rPr>
            </w:pPr>
            <w:r>
              <w:rPr>
                <w:rFonts w:ascii="Arial" w:cs="Arial" w:eastAsia="Arial" w:hAnsi="Arial"/>
                <w:sz w:val="18"/>
                <w:szCs w:val="18"/>
                <w:color w:val="auto"/>
              </w:rPr>
              <w:t>April 17,</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Hong</w:t>
            </w: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jc w:val="right"/>
              <w:ind w:right="56"/>
              <w:spacing w:after="0"/>
              <w:rPr>
                <w:sz w:val="20"/>
                <w:szCs w:val="20"/>
                <w:color w:val="auto"/>
              </w:rPr>
            </w:pPr>
            <w:r>
              <w:rPr>
                <w:rFonts w:ascii="Arial" w:cs="Arial" w:eastAsia="Arial" w:hAnsi="Arial"/>
                <w:sz w:val="18"/>
                <w:szCs w:val="18"/>
                <w:color w:val="auto"/>
              </w:rPr>
              <w:t>2012</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Kong</w:t>
            </w:r>
          </w:p>
        </w:tc>
        <w:tc>
          <w:tcPr>
            <w:tcW w:w="1140" w:type="dxa"/>
            <w:vAlign w:val="bottom"/>
          </w:tcPr>
          <w:p>
            <w:pPr>
              <w:jc w:val="right"/>
              <w:ind w:right="101"/>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w w:val="99"/>
              </w:rPr>
              <w:t>Financial services</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Hong</w:t>
            </w:r>
          </w:p>
        </w:tc>
        <w:tc>
          <w:tcPr>
            <w:tcW w:w="1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15"/>
        </w:trPr>
        <w:tc>
          <w:tcPr>
            <w:tcW w:w="1140" w:type="dxa"/>
            <w:vAlign w:val="bottom"/>
          </w:tcPr>
          <w:p>
            <w:pPr>
              <w:jc w:val="right"/>
              <w:ind w:right="56"/>
              <w:spacing w:after="0"/>
              <w:rPr>
                <w:sz w:val="20"/>
                <w:szCs w:val="20"/>
                <w:color w:val="auto"/>
              </w:rPr>
            </w:pPr>
            <w:r>
              <w:rPr>
                <w:rFonts w:ascii="Arial" w:cs="Arial" w:eastAsia="Arial" w:hAnsi="Arial"/>
                <w:sz w:val="18"/>
                <w:szCs w:val="18"/>
                <w:color w:val="auto"/>
                <w:w w:val="98"/>
              </w:rPr>
              <w:t>May 2, 2014</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Kong</w:t>
            </w:r>
          </w:p>
        </w:tc>
        <w:tc>
          <w:tcPr>
            <w:tcW w:w="1140" w:type="dxa"/>
            <w:vAlign w:val="bottom"/>
          </w:tcPr>
          <w:p>
            <w:pPr>
              <w:jc w:val="right"/>
              <w:ind w:right="101"/>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development and</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Hong</w:t>
            </w:r>
          </w:p>
        </w:tc>
        <w:tc>
          <w:tcPr>
            <w:tcW w:w="1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215"/>
        </w:trPr>
        <w:tc>
          <w:tcPr>
            <w:tcW w:w="1140" w:type="dxa"/>
            <w:vAlign w:val="bottom"/>
          </w:tcPr>
          <w:p>
            <w:pPr>
              <w:jc w:val="right"/>
              <w:ind w:right="56"/>
              <w:spacing w:after="0"/>
              <w:rPr>
                <w:sz w:val="20"/>
                <w:szCs w:val="20"/>
                <w:color w:val="auto"/>
              </w:rPr>
            </w:pPr>
            <w:r>
              <w:rPr>
                <w:rFonts w:ascii="Arial" w:cs="Arial" w:eastAsia="Arial" w:hAnsi="Arial"/>
                <w:sz w:val="18"/>
                <w:szCs w:val="18"/>
                <w:color w:val="auto"/>
                <w:w w:val="89"/>
              </w:rPr>
              <w:t>May 17, 2015</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Kong</w:t>
            </w:r>
          </w:p>
        </w:tc>
        <w:tc>
          <w:tcPr>
            <w:tcW w:w="1140" w:type="dxa"/>
            <w:vAlign w:val="bottom"/>
          </w:tcPr>
          <w:p>
            <w:pPr>
              <w:jc w:val="right"/>
              <w:ind w:right="101"/>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development and</w:t>
            </w:r>
          </w:p>
        </w:tc>
        <w:tc>
          <w:tcPr>
            <w:tcW w:w="0" w:type="dxa"/>
            <w:vAlign w:val="bottom"/>
          </w:tcPr>
          <w:p>
            <w:pPr>
              <w:spacing w:after="0"/>
              <w:rPr>
                <w:sz w:val="1"/>
                <w:szCs w:val="1"/>
                <w:color w:val="auto"/>
              </w:rPr>
            </w:pPr>
          </w:p>
        </w:tc>
      </w:tr>
      <w:tr>
        <w:trPr>
          <w:trHeight w:val="215"/>
        </w:trPr>
        <w:tc>
          <w:tcPr>
            <w:tcW w:w="1140" w:type="dxa"/>
            <w:vAlign w:val="bottom"/>
          </w:tcPr>
          <w:p>
            <w:pPr>
              <w:jc w:val="right"/>
              <w:ind w:right="56"/>
              <w:spacing w:after="0"/>
              <w:rPr>
                <w:sz w:val="20"/>
                <w:szCs w:val="20"/>
                <w:color w:val="auto"/>
              </w:rPr>
            </w:pPr>
            <w:r>
              <w:rPr>
                <w:rFonts w:ascii="Arial" w:cs="Arial" w:eastAsia="Arial" w:hAnsi="Arial"/>
                <w:sz w:val="18"/>
                <w:szCs w:val="18"/>
                <w:color w:val="auto"/>
              </w:rPr>
              <w:t>October 14,</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Shenzhen,</w:t>
            </w:r>
          </w:p>
        </w:tc>
        <w:tc>
          <w:tcPr>
            <w:tcW w:w="1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227"/>
        </w:trPr>
        <w:tc>
          <w:tcPr>
            <w:tcW w:w="1140" w:type="dxa"/>
            <w:vAlign w:val="bottom"/>
          </w:tcPr>
          <w:p>
            <w:pPr>
              <w:jc w:val="right"/>
              <w:ind w:right="56"/>
              <w:spacing w:after="0"/>
              <w:rPr>
                <w:sz w:val="20"/>
                <w:szCs w:val="20"/>
                <w:color w:val="auto"/>
              </w:rPr>
            </w:pPr>
            <w:r>
              <w:rPr>
                <w:rFonts w:ascii="Arial" w:cs="Arial" w:eastAsia="Arial" w:hAnsi="Arial"/>
                <w:sz w:val="18"/>
                <w:szCs w:val="18"/>
                <w:color w:val="auto"/>
              </w:rPr>
              <w:t>2015</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PRC</w:t>
            </w:r>
          </w:p>
        </w:tc>
        <w:tc>
          <w:tcPr>
            <w:tcW w:w="1140" w:type="dxa"/>
            <w:vAlign w:val="bottom"/>
          </w:tcPr>
          <w:p>
            <w:pPr>
              <w:jc w:val="right"/>
              <w:ind w:right="101"/>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680" w:space="580"/>
            <w:col w:w="4940"/>
          </w:cols>
          <w:pgMar w:left="240" w:top="458" w:right="459" w:bottom="1440" w:gutter="0" w:footer="0" w:header="0"/>
          <w:type w:val="continuous"/>
        </w:sectPr>
      </w:pPr>
    </w:p>
    <w:tbl>
      <w:tblPr>
        <w:tblLayout w:type="fixed"/>
        <w:tblInd w:w="240" w:type="dxa"/>
        <w:tblCellMar>
          <w:top w:w="0" w:type="dxa"/>
          <w:left w:w="0" w:type="dxa"/>
          <w:bottom w:w="0" w:type="dxa"/>
          <w:right w:w="0" w:type="dxa"/>
        </w:tblCellMar>
      </w:tblPr>
      <w:tr>
        <w:trPr>
          <w:trHeight w:val="202"/>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Shen Si Network Technology (Beijing) Co. Ltd (“Shen Si”)</w:t>
            </w:r>
          </w:p>
        </w:tc>
        <w:tc>
          <w:tcPr>
            <w:tcW w:w="1820" w:type="dxa"/>
            <w:vAlign w:val="bottom"/>
            <w:shd w:val="clear" w:color="auto" w:fill="CCEEFF"/>
          </w:tcPr>
          <w:p>
            <w:pPr>
              <w:jc w:val="right"/>
              <w:ind w:right="131"/>
              <w:spacing w:after="0" w:line="202" w:lineRule="exact"/>
              <w:rPr>
                <w:sz w:val="20"/>
                <w:szCs w:val="20"/>
                <w:color w:val="auto"/>
              </w:rPr>
            </w:pPr>
            <w:r>
              <w:rPr>
                <w:rFonts w:ascii="Arial" w:cs="Arial" w:eastAsia="Arial" w:hAnsi="Arial"/>
                <w:sz w:val="18"/>
                <w:szCs w:val="18"/>
                <w:color w:val="auto"/>
              </w:rPr>
              <w:t>September 15,</w:t>
            </w:r>
          </w:p>
        </w:tc>
        <w:tc>
          <w:tcPr>
            <w:tcW w:w="128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Beijing,</w:t>
            </w: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No substantial</w:t>
            </w:r>
          </w:p>
        </w:tc>
      </w:tr>
      <w:tr>
        <w:trPr>
          <w:trHeight w:val="229"/>
        </w:trPr>
        <w:tc>
          <w:tcPr>
            <w:tcW w:w="5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2014</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PRC</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business</w:t>
            </w:r>
          </w:p>
        </w:tc>
      </w:tr>
      <w:tr>
        <w:trPr>
          <w:trHeight w:val="322"/>
        </w:trPr>
        <w:tc>
          <w:tcPr>
            <w:tcW w:w="5420" w:type="dxa"/>
            <w:vAlign w:val="bottom"/>
          </w:tcPr>
          <w:p>
            <w:pPr>
              <w:spacing w:after="0"/>
              <w:rPr>
                <w:sz w:val="20"/>
                <w:szCs w:val="20"/>
                <w:color w:val="auto"/>
              </w:rPr>
            </w:pPr>
            <w:r>
              <w:rPr>
                <w:rFonts w:ascii="Arial" w:cs="Arial" w:eastAsia="Arial" w:hAnsi="Arial"/>
                <w:sz w:val="18"/>
                <w:szCs w:val="18"/>
                <w:b w:val="1"/>
                <w:bCs w:val="1"/>
                <w:color w:val="auto"/>
              </w:rPr>
              <w:t>VIE</w:t>
            </w: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0"/>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Shenzhen Futu Network Technology Co., Ltd.</w:t>
            </w:r>
            <w:r>
              <w:rPr>
                <w:rFonts w:ascii="Arial" w:cs="Arial" w:eastAsia="Arial" w:hAnsi="Arial"/>
                <w:sz w:val="15"/>
                <w:szCs w:val="15"/>
                <w:color w:val="auto"/>
              </w:rPr>
              <w:t>(1)</w:t>
            </w:r>
            <w:r>
              <w:rPr>
                <w:rFonts w:ascii="Arial" w:cs="Arial" w:eastAsia="Arial" w:hAnsi="Arial"/>
                <w:sz w:val="18"/>
                <w:szCs w:val="18"/>
                <w:color w:val="auto"/>
              </w:rPr>
              <w:t xml:space="preserve"> (“Shenzhen Futu”)</w:t>
            </w:r>
          </w:p>
        </w:tc>
        <w:tc>
          <w:tcPr>
            <w:tcW w:w="1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Research and</w:t>
            </w:r>
          </w:p>
        </w:tc>
      </w:tr>
      <w:tr>
        <w:trPr>
          <w:trHeight w:val="215"/>
        </w:trPr>
        <w:tc>
          <w:tcPr>
            <w:tcW w:w="54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development and</w:t>
            </w:r>
          </w:p>
        </w:tc>
      </w:tr>
      <w:tr>
        <w:trPr>
          <w:trHeight w:val="215"/>
        </w:trPr>
        <w:tc>
          <w:tcPr>
            <w:tcW w:w="54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December 18,</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Shenzhen,</w:t>
            </w:r>
          </w:p>
        </w:tc>
        <w:tc>
          <w:tcPr>
            <w:tcW w:w="9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technology</w:t>
            </w:r>
          </w:p>
        </w:tc>
      </w:tr>
      <w:tr>
        <w:trPr>
          <w:trHeight w:val="229"/>
        </w:trPr>
        <w:tc>
          <w:tcPr>
            <w:tcW w:w="5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2007</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PRC</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w:t>
            </w:r>
          </w:p>
        </w:tc>
      </w:tr>
      <w:tr>
        <w:trPr>
          <w:trHeight w:val="322"/>
        </w:trPr>
        <w:tc>
          <w:tcPr>
            <w:tcW w:w="5420" w:type="dxa"/>
            <w:vAlign w:val="bottom"/>
          </w:tcPr>
          <w:p>
            <w:pPr>
              <w:spacing w:after="0"/>
              <w:rPr>
                <w:sz w:val="20"/>
                <w:szCs w:val="20"/>
                <w:color w:val="auto"/>
              </w:rPr>
            </w:pPr>
            <w:r>
              <w:rPr>
                <w:rFonts w:ascii="Arial" w:cs="Arial" w:eastAsia="Arial" w:hAnsi="Arial"/>
                <w:sz w:val="18"/>
                <w:szCs w:val="18"/>
                <w:b w:val="1"/>
                <w:bCs w:val="1"/>
                <w:color w:val="auto"/>
              </w:rPr>
              <w:t>Subsidiary of the VIE</w:t>
            </w:r>
          </w:p>
        </w:tc>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0"/>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Beijing Futu Network Technology Co., Ltd.</w:t>
            </w:r>
          </w:p>
        </w:tc>
        <w:tc>
          <w:tcPr>
            <w:tcW w:w="18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51"/>
              <w:spacing w:after="0" w:line="201" w:lineRule="exact"/>
              <w:rPr>
                <w:sz w:val="20"/>
                <w:szCs w:val="20"/>
                <w:color w:val="auto"/>
              </w:rPr>
            </w:pPr>
            <w:r>
              <w:rPr>
                <w:rFonts w:ascii="Arial" w:cs="Arial" w:eastAsia="Arial" w:hAnsi="Arial"/>
                <w:sz w:val="18"/>
                <w:szCs w:val="18"/>
                <w:color w:val="auto"/>
              </w:rPr>
              <w:t>Beijing,</w:t>
            </w: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No substantial</w:t>
            </w:r>
          </w:p>
        </w:tc>
      </w:tr>
      <w:tr>
        <w:trPr>
          <w:trHeight w:val="229"/>
        </w:trPr>
        <w:tc>
          <w:tcPr>
            <w:tcW w:w="5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April 4, 2014</w:t>
            </w:r>
          </w:p>
        </w:tc>
        <w:tc>
          <w:tcPr>
            <w:tcW w:w="12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PRC</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business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85090</wp:posOffset>
            </wp:positionV>
            <wp:extent cx="6991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Note:</w:t>
      </w:r>
    </w:p>
    <w:p>
      <w:pPr>
        <w:spacing w:after="0" w:line="22" w:lineRule="exact"/>
        <w:rPr>
          <w:sz w:val="20"/>
          <w:szCs w:val="20"/>
          <w:color w:val="auto"/>
        </w:rPr>
      </w:pPr>
    </w:p>
    <w:p>
      <w:pPr>
        <w:ind w:left="560" w:right="540" w:hanging="324"/>
        <w:spacing w:after="0" w:line="285" w:lineRule="auto"/>
        <w:tabs>
          <w:tab w:leader="none" w:pos="5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Mr. Leaf Hua Li and Ms. Lei Li are beneficiary owners of the Company and hold 85% and 15% equity interests in Shenzhen Futu, respectively. Mr. Li is the founder, chairman and chief executive officer of the Company, and Ms. Li is Mr. Li’s spouse.</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58" w:right="459" w:bottom="1440" w:gutter="0" w:footer="0" w:header="0"/>
          <w:type w:val="continuous"/>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7160" w:hanging="444"/>
        <w:spacing w:after="0" w:line="375" w:lineRule="auto"/>
        <w:tabs>
          <w:tab w:leader="none" w:pos="67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left="240" w:right="200" w:firstLine="438"/>
        <w:spacing w:after="0" w:line="262" w:lineRule="auto"/>
        <w:rPr>
          <w:sz w:val="20"/>
          <w:szCs w:val="20"/>
          <w:color w:val="auto"/>
        </w:rPr>
      </w:pPr>
      <w:r>
        <w:rPr>
          <w:rFonts w:ascii="Arial" w:cs="Arial" w:eastAsia="Arial" w:hAnsi="Arial"/>
          <w:sz w:val="18"/>
          <w:szCs w:val="18"/>
          <w:color w:val="auto"/>
        </w:rPr>
        <w:t>The consolidated financial statements of the Group have been prepared in accordance with the accounting principles generally accepted in the United States of America (“U.S. GAAP”). Significant accounting policies followed by the Group in the preparation of the accompanying consolidated financial statements are summarized below.</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5" w:lineRule="exact"/>
        <w:rPr>
          <w:sz w:val="20"/>
          <w:szCs w:val="20"/>
          <w:color w:val="auto"/>
        </w:rPr>
      </w:pPr>
    </w:p>
    <w:p>
      <w:pPr>
        <w:ind w:left="240" w:right="400" w:firstLine="438"/>
        <w:spacing w:after="0" w:line="275"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the VIE and subsidiary of the VIE for which the Company or its subsidiary is the primary beneficiary.</w:t>
      </w:r>
    </w:p>
    <w:p>
      <w:pPr>
        <w:spacing w:after="0" w:line="170" w:lineRule="exact"/>
        <w:rPr>
          <w:sz w:val="20"/>
          <w:szCs w:val="20"/>
          <w:color w:val="auto"/>
        </w:rPr>
      </w:pPr>
    </w:p>
    <w:p>
      <w:pPr>
        <w:ind w:left="240" w:right="280" w:firstLine="438"/>
        <w:spacing w:after="0" w:line="284" w:lineRule="auto"/>
        <w:rPr>
          <w:sz w:val="20"/>
          <w:szCs w:val="20"/>
          <w:color w:val="auto"/>
        </w:rPr>
      </w:pPr>
      <w:r>
        <w:rPr>
          <w:rFonts w:ascii="Arial" w:cs="Arial" w:eastAsia="Arial" w:hAnsi="Arial"/>
          <w:sz w:val="17"/>
          <w:szCs w:val="17"/>
          <w:color w:val="auto"/>
        </w:rPr>
        <w:t>A Subsidiary is an entity in which the Company, directly or indirectly, controls more than one half of the voting power;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65" w:lineRule="exact"/>
        <w:rPr>
          <w:sz w:val="20"/>
          <w:szCs w:val="20"/>
          <w:color w:val="auto"/>
        </w:rPr>
      </w:pPr>
    </w:p>
    <w:p>
      <w:pPr>
        <w:jc w:val="both"/>
        <w:ind w:left="240" w:right="220" w:firstLine="438"/>
        <w:spacing w:after="0" w:line="262" w:lineRule="auto"/>
        <w:rPr>
          <w:sz w:val="20"/>
          <w:szCs w:val="20"/>
          <w:color w:val="auto"/>
        </w:rPr>
      </w:pPr>
      <w:r>
        <w:rPr>
          <w:rFonts w:ascii="Arial" w:cs="Arial" w:eastAsia="Arial" w:hAnsi="Arial"/>
          <w:sz w:val="18"/>
          <w:szCs w:val="18"/>
          <w:color w:val="auto"/>
        </w:rPr>
        <w:t>A consolidated VIE is an entity in which the Company, or its subsidiary, through contractual arrangements, has the power to direct the activities that most significantly impact the entity’s economic performance, bears the risks of and enjoys the rewards normally associated with ownership of the entity, and therefore the Company or its subsidiary is the primary beneficiary of the entity.</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All transactions and balances among the Company, its subsidiaries, the VIE and subsidiary of the VIE have been eliminated upon consolidation.</w:t>
      </w:r>
    </w:p>
    <w:p>
      <w:pPr>
        <w:spacing w:after="0" w:line="353"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VIE Companies</w:t>
      </w:r>
    </w:p>
    <w:p>
      <w:pPr>
        <w:spacing w:after="0" w:line="129" w:lineRule="exact"/>
        <w:rPr>
          <w:sz w:val="20"/>
          <w:szCs w:val="20"/>
          <w:color w:val="auto"/>
        </w:rPr>
      </w:pPr>
    </w:p>
    <w:p>
      <w:pPr>
        <w:ind w:left="660" w:hanging="424"/>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Contractual Agreements with VIE</w:t>
      </w:r>
    </w:p>
    <w:p>
      <w:pPr>
        <w:spacing w:after="0" w:line="115"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The following is a summary of the contractual agreements (collectively, “Contractual Agreements”) between the Company’s PRC subsidiary, Shen Si, and the VIE, Shenzhen Futu. Through the Contractual Agreements, the VIE is effectively controlled by the Company.</w:t>
      </w:r>
    </w:p>
    <w:p>
      <w:pPr>
        <w:spacing w:after="0" w:line="170" w:lineRule="exact"/>
        <w:rPr>
          <w:sz w:val="20"/>
          <w:szCs w:val="20"/>
          <w:color w:val="auto"/>
        </w:rPr>
      </w:pPr>
    </w:p>
    <w:p>
      <w:pPr>
        <w:ind w:left="240" w:right="20" w:firstLine="438"/>
        <w:spacing w:after="0" w:line="254" w:lineRule="auto"/>
        <w:rPr>
          <w:sz w:val="20"/>
          <w:szCs w:val="20"/>
          <w:color w:val="auto"/>
        </w:rPr>
      </w:pPr>
      <w:r>
        <w:rPr>
          <w:rFonts w:ascii="Arial" w:cs="Arial" w:eastAsia="Arial" w:hAnsi="Arial"/>
          <w:sz w:val="18"/>
          <w:szCs w:val="18"/>
          <w:b w:val="1"/>
          <w:bCs w:val="1"/>
          <w:i w:val="1"/>
          <w:iCs w:val="1"/>
          <w:color w:val="auto"/>
        </w:rPr>
        <w:t xml:space="preserve">Shareholders’ Voting Rights Proxy Agreements. </w:t>
      </w:r>
      <w:r>
        <w:rPr>
          <w:rFonts w:ascii="Arial" w:cs="Arial" w:eastAsia="Arial" w:hAnsi="Arial"/>
          <w:sz w:val="18"/>
          <w:szCs w:val="18"/>
          <w:color w:val="auto"/>
        </w:rPr>
        <w:t>Pursuant to the Shareholders’ Voting Rights Proxy Agreements, each shareholder of Shenzhen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 irrevocably authorized Shen Si or any person(s) designated by Shen Si to exercise such shareholder’s rights in Shenzhen Futu, including without limitation, the power to participate in and vote at shareholder’s meetings, the power to nominate and appoint the directors, senior management, and other shareholders’ voting right permitted by the Articles of Association of Shenzhen Futu. The shareholders’ voting rights proxy agreement remains irrevocable and continuously valid from the date of execution until the expiration of the business term of Shen Si and can be renewed upon request by Shen Si.</w:t>
      </w:r>
    </w:p>
    <w:p>
      <w:pPr>
        <w:spacing w:after="0" w:line="190" w:lineRule="exact"/>
        <w:rPr>
          <w:sz w:val="20"/>
          <w:szCs w:val="20"/>
          <w:color w:val="auto"/>
        </w:rPr>
      </w:pPr>
    </w:p>
    <w:p>
      <w:pPr>
        <w:ind w:left="240" w:right="100" w:firstLine="438"/>
        <w:spacing w:after="0" w:line="274" w:lineRule="auto"/>
        <w:rPr>
          <w:sz w:val="20"/>
          <w:szCs w:val="20"/>
          <w:color w:val="auto"/>
        </w:rPr>
      </w:pPr>
      <w:r>
        <w:rPr>
          <w:rFonts w:ascii="Arial" w:cs="Arial" w:eastAsia="Arial" w:hAnsi="Arial"/>
          <w:sz w:val="17"/>
          <w:szCs w:val="17"/>
          <w:b w:val="1"/>
          <w:bCs w:val="1"/>
          <w:i w:val="1"/>
          <w:iCs w:val="1"/>
          <w:color w:val="auto"/>
        </w:rPr>
        <w:t xml:space="preserve">Business Operation Agreement. </w:t>
      </w:r>
      <w:r>
        <w:rPr>
          <w:rFonts w:ascii="Arial" w:cs="Arial" w:eastAsia="Arial" w:hAnsi="Arial"/>
          <w:sz w:val="17"/>
          <w:szCs w:val="17"/>
          <w:color w:val="auto"/>
        </w:rPr>
        <w:t>Pursuant to the Business Operation Agreement, Shenzhen Futu and its shareholders undertake that without Shen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Si’s prior written consent, Shenzhen Futu shall not enter into any transactions that may have a material effect on Shenzhen Futu’s assets, business, personnel, obligations, rights or business operations. Shenzhen Futu and its shareholders shall elect directors nominated by Shen Si and such directors shall nominate officers designated by Shen Si. The business operation agreement will remain effective until the end of Shen Si’s business term, which will be extended if Shen Si’s business term is extended or as required by Shen Si.</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8"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80" w:hanging="444"/>
        <w:spacing w:after="0" w:line="383" w:lineRule="auto"/>
        <w:tabs>
          <w:tab w:leader="none" w:pos="67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VIE Companies (Continued)</w:t>
      </w:r>
    </w:p>
    <w:p>
      <w:pPr>
        <w:spacing w:after="0" w:line="1" w:lineRule="exact"/>
        <w:rPr>
          <w:sz w:val="20"/>
          <w:szCs w:val="20"/>
          <w:color w:val="auto"/>
        </w:rPr>
      </w:pPr>
    </w:p>
    <w:p>
      <w:pPr>
        <w:ind w:left="660" w:hanging="424"/>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Contractual Agreements with VIE (Continued)</w:t>
      </w:r>
    </w:p>
    <w:p>
      <w:pPr>
        <w:spacing w:after="0" w:line="129" w:lineRule="exact"/>
        <w:rPr>
          <w:sz w:val="20"/>
          <w:szCs w:val="20"/>
          <w:color w:val="auto"/>
        </w:rPr>
      </w:pPr>
    </w:p>
    <w:p>
      <w:pPr>
        <w:ind w:left="240" w:right="20" w:firstLine="438"/>
        <w:spacing w:after="0" w:line="255" w:lineRule="auto"/>
        <w:rPr>
          <w:sz w:val="20"/>
          <w:szCs w:val="20"/>
          <w:color w:val="auto"/>
        </w:rPr>
      </w:pPr>
      <w:r>
        <w:rPr>
          <w:rFonts w:ascii="Arial" w:cs="Arial" w:eastAsia="Arial" w:hAnsi="Arial"/>
          <w:sz w:val="18"/>
          <w:szCs w:val="18"/>
          <w:b w:val="1"/>
          <w:bCs w:val="1"/>
          <w:i w:val="1"/>
          <w:iCs w:val="1"/>
          <w:color w:val="auto"/>
        </w:rPr>
        <w:t xml:space="preserve">Equity Interest Pledge Agreements. </w:t>
      </w:r>
      <w:r>
        <w:rPr>
          <w:rFonts w:ascii="Arial" w:cs="Arial" w:eastAsia="Arial" w:hAnsi="Arial"/>
          <w:sz w:val="18"/>
          <w:szCs w:val="18"/>
          <w:color w:val="auto"/>
        </w:rPr>
        <w:t>Pursuant to the Equity Interest Pledge Agreements, each shareholder of Shenzhen Futu agrees that,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the Equity Interest Pledge Agreements, he or she will not dispose of the pledged equity interests or create or allow any encumbrance on the pledged equity interests without the prior written consent of Shen Si. The Equity Interest Pledge Agreements remain effective until the latter of the full payment of all secured debt under the equity interest pledge agreement and Shenzhen Futu and its shareholders discharge all their obligations under the contractual arrangements.</w:t>
      </w:r>
    </w:p>
    <w:p>
      <w:pPr>
        <w:spacing w:after="0" w:line="189" w:lineRule="exact"/>
        <w:rPr>
          <w:sz w:val="20"/>
          <w:szCs w:val="20"/>
          <w:color w:val="auto"/>
        </w:rPr>
      </w:pPr>
    </w:p>
    <w:p>
      <w:pPr>
        <w:ind w:left="240" w:right="120" w:firstLine="438"/>
        <w:spacing w:after="0" w:line="270" w:lineRule="auto"/>
        <w:rPr>
          <w:sz w:val="20"/>
          <w:szCs w:val="20"/>
          <w:color w:val="auto"/>
        </w:rPr>
      </w:pPr>
      <w:r>
        <w:rPr>
          <w:rFonts w:ascii="Arial" w:cs="Arial" w:eastAsia="Arial" w:hAnsi="Arial"/>
          <w:sz w:val="17"/>
          <w:szCs w:val="17"/>
          <w:b w:val="1"/>
          <w:bCs w:val="1"/>
          <w:i w:val="1"/>
          <w:iCs w:val="1"/>
          <w:color w:val="auto"/>
        </w:rPr>
        <w:t xml:space="preserve">Exclusive Technology Consulting and Services Agreement. </w:t>
      </w:r>
      <w:r>
        <w:rPr>
          <w:rFonts w:ascii="Arial" w:cs="Arial" w:eastAsia="Arial" w:hAnsi="Arial"/>
          <w:sz w:val="17"/>
          <w:szCs w:val="17"/>
          <w:color w:val="auto"/>
        </w:rPr>
        <w:t>Under the Exclusive Technology and Consulting and Services Agreement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Shen Si and Shenzhen Futu, Shen Si has the exclusive right to provide Shenzhen Futu with technology consulting and services related to, among other things, technology research and development, technology application and implementation, maintenance of software and hardware. Without Shen Si’s written consent, Shenzhen Futu shall not accept any technology consulting and services covered by this agreement from any third party. Shenzhen Futu agrees to pay a service fee at an amount equivalent to all of its net profit to Shen Si. Unless otherwise terminated in accordance with the terms of this agreement or otherwise agreed by Shen Si, this agreement will remain effective until the expiration of Shen Si’s business term, and will be renewed if Shen Si’s business term is extended.</w:t>
      </w:r>
    </w:p>
    <w:p>
      <w:pPr>
        <w:spacing w:after="0" w:line="179" w:lineRule="exact"/>
        <w:rPr>
          <w:sz w:val="20"/>
          <w:szCs w:val="20"/>
          <w:color w:val="auto"/>
        </w:rPr>
      </w:pPr>
    </w:p>
    <w:p>
      <w:pPr>
        <w:ind w:left="240" w:firstLine="438"/>
        <w:spacing w:after="0" w:line="286" w:lineRule="auto"/>
        <w:rPr>
          <w:sz w:val="20"/>
          <w:szCs w:val="20"/>
          <w:color w:val="auto"/>
        </w:rPr>
      </w:pPr>
      <w:r>
        <w:rPr>
          <w:rFonts w:ascii="Arial" w:cs="Arial" w:eastAsia="Arial" w:hAnsi="Arial"/>
          <w:sz w:val="16"/>
          <w:szCs w:val="16"/>
          <w:b w:val="1"/>
          <w:bCs w:val="1"/>
          <w:i w:val="1"/>
          <w:iCs w:val="1"/>
          <w:color w:val="auto"/>
        </w:rPr>
        <w:t xml:space="preserve">Exclusive Option Agreement. </w:t>
      </w:r>
      <w:r>
        <w:rPr>
          <w:rFonts w:ascii="Arial" w:cs="Arial" w:eastAsia="Arial" w:hAnsi="Arial"/>
          <w:sz w:val="16"/>
          <w:szCs w:val="16"/>
          <w:color w:val="auto"/>
        </w:rPr>
        <w:t>Pursuant to the Exclusive Option Agreement, each shareholder of Shenzhen Futu has irrevocably granted Shen Si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exclusive option, to the extent permitted by PRC laws, to purchase, or have its designated person or persons to purchase, at its discretion, all or part of the shareholder’s equity interests in Shenzhen Futu. Unless PRC laws and/or regulations require valuation of the equity interests, the purchase price shall be RMB1.00 or the lowest price permitted by the applicable PRC laws, whoever is higher. Each shareholder of Shenzhen Futu undertakes that, without the prior written consent of Shen Si, he or she will not, among other things, (i) create any pledge or encumbrance on his or her equity interests in Shenzhen Futu, (ii) transfer or otherwise dispose of his or her equity interests in Shenzhen Futu, (iii) change Shenzhen Futu’s registered capital, (iv) amend Shenzhen Futu’s articles of association, (v) liquidate or dissolve Shenzhen Futu, or (vi) distribute dividends to the shareholders of Shenshen Futu. In addition, Shenzhen Futu undertakes that, without the prior written consent of Shen Si, it will not, among other things, dispose of Shenzhen Futu’s material assets, provide any loans to any third parties, enter into any material contract with a value of more than RMB500,000, or create any pledge or encumbrance on any of its assets, or transfer or otherwise dispose of its material assets. Unless otherwise terminated by Shen Si, this agreement will remain effective until the expiration of Shen Si’s business term, and will be renewed if Shen Si’s business term is extended.</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8"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020" w:hanging="444"/>
        <w:spacing w:after="0" w:line="383" w:lineRule="auto"/>
        <w:tabs>
          <w:tab w:leader="none" w:pos="672"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VIE Companies (Continued)</w:t>
      </w:r>
    </w:p>
    <w:p>
      <w:pPr>
        <w:spacing w:after="0" w:line="1" w:lineRule="exact"/>
        <w:rPr>
          <w:sz w:val="20"/>
          <w:szCs w:val="20"/>
          <w:color w:val="auto"/>
        </w:rPr>
      </w:pPr>
    </w:p>
    <w:p>
      <w:pPr>
        <w:ind w:left="660" w:hanging="424"/>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Risks in relation to the VIE structure</w:t>
      </w:r>
    </w:p>
    <w:p>
      <w:pPr>
        <w:spacing w:after="0" w:line="115" w:lineRule="exact"/>
        <w:rPr>
          <w:sz w:val="20"/>
          <w:szCs w:val="20"/>
          <w:color w:val="auto"/>
        </w:rPr>
      </w:pPr>
    </w:p>
    <w:p>
      <w:pPr>
        <w:ind w:left="240" w:right="140" w:firstLine="438"/>
        <w:spacing w:after="0" w:line="339" w:lineRule="auto"/>
        <w:rPr>
          <w:sz w:val="20"/>
          <w:szCs w:val="20"/>
          <w:color w:val="auto"/>
        </w:rPr>
      </w:pPr>
      <w:r>
        <w:rPr>
          <w:rFonts w:ascii="Arial" w:cs="Arial" w:eastAsia="Arial" w:hAnsi="Arial"/>
          <w:sz w:val="16"/>
          <w:szCs w:val="16"/>
          <w:color w:val="auto"/>
        </w:rPr>
        <w:t>The following table sets forth the assets, liabilities, results of operations and changes in cash and cash equivalents of the VIE and its subsidiary taken as a whole, which were included in the Group’s consolidated financial statements with intercompany balances and transactions eliminated:</w:t>
      </w:r>
    </w:p>
    <w:p>
      <w:pPr>
        <w:spacing w:after="0" w:line="143"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r>
      <w:tr>
        <w:trPr>
          <w:trHeight w:val="141"/>
        </w:trPr>
        <w:tc>
          <w:tcPr>
            <w:tcW w:w="664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64"/>
              <w:spacing w:after="0" w:line="141"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5"/>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jc w:val="center"/>
              <w:ind w:right="15"/>
              <w:spacing w:after="0" w:line="141" w:lineRule="exact"/>
              <w:rPr>
                <w:sz w:val="20"/>
                <w:szCs w:val="20"/>
                <w:color w:val="auto"/>
              </w:rPr>
            </w:pPr>
            <w:r>
              <w:rPr>
                <w:rFonts w:ascii="Arial" w:cs="Arial" w:eastAsia="Arial" w:hAnsi="Arial"/>
                <w:sz w:val="14"/>
                <w:szCs w:val="14"/>
                <w:b w:val="1"/>
                <w:bCs w:val="1"/>
                <w:color w:val="auto"/>
                <w:w w:val="93"/>
              </w:rPr>
              <w:t>(HK$ in thousands)</w:t>
            </w:r>
          </w:p>
        </w:tc>
        <w:tc>
          <w:tcPr>
            <w:tcW w:w="120" w:type="dxa"/>
            <w:vAlign w:val="bottom"/>
          </w:tcPr>
          <w:p>
            <w:pPr>
              <w:spacing w:after="0"/>
              <w:rPr>
                <w:sz w:val="12"/>
                <w:szCs w:val="12"/>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6"/>
              </w:rPr>
              <w:t>15,489</w:t>
            </w:r>
          </w:p>
        </w:tc>
        <w:tc>
          <w:tcPr>
            <w:tcW w:w="8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24,656</w:t>
            </w: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Total liabilities</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w w:val="76"/>
              </w:rPr>
              <w:t>71,192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65,185</w:t>
            </w:r>
          </w:p>
        </w:tc>
      </w:tr>
      <w:tr>
        <w:trPr>
          <w:trHeight w:val="20"/>
        </w:trPr>
        <w:tc>
          <w:tcPr>
            <w:tcW w:w="6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374"/>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Year ended</w:t>
            </w:r>
          </w:p>
        </w:tc>
      </w:tr>
      <w:tr>
        <w:trPr>
          <w:trHeight w:val="170"/>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41"/>
        </w:trPr>
        <w:tc>
          <w:tcPr>
            <w:tcW w:w="664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ind w:left="180"/>
              <w:spacing w:after="0" w:line="141"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jc w:val="center"/>
              <w:ind w:right="15"/>
              <w:spacing w:after="0" w:line="141" w:lineRule="exact"/>
              <w:rPr>
                <w:sz w:val="20"/>
                <w:szCs w:val="20"/>
                <w:color w:val="auto"/>
              </w:rPr>
            </w:pPr>
            <w:r>
              <w:rPr>
                <w:rFonts w:ascii="Arial" w:cs="Arial" w:eastAsia="Arial" w:hAnsi="Arial"/>
                <w:sz w:val="14"/>
                <w:szCs w:val="14"/>
                <w:b w:val="1"/>
                <w:bCs w:val="1"/>
                <w:color w:val="auto"/>
                <w:w w:val="93"/>
              </w:rPr>
              <w:t>(HK$ in thousands)</w:t>
            </w:r>
          </w:p>
        </w:tc>
        <w:tc>
          <w:tcPr>
            <w:tcW w:w="120" w:type="dxa"/>
            <w:vAlign w:val="bottom"/>
          </w:tcPr>
          <w:p>
            <w:pPr>
              <w:spacing w:after="0"/>
              <w:rPr>
                <w:sz w:val="12"/>
                <w:szCs w:val="12"/>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w:t>
            </w:r>
          </w:p>
        </w:tc>
        <w:tc>
          <w:tcPr>
            <w:tcW w:w="1020" w:type="dxa"/>
            <w:vAlign w:val="bottom"/>
            <w:tcBorders>
              <w:right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8,333</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50,020</w:t>
            </w: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Net (loss)/income</w:t>
            </w:r>
          </w:p>
        </w:tc>
        <w:tc>
          <w:tcPr>
            <w:tcW w:w="1020" w:type="dxa"/>
            <w:vAlign w:val="bottom"/>
            <w:gridSpan w:val="4"/>
          </w:tcPr>
          <w:p>
            <w:pPr>
              <w:ind w:left="100"/>
              <w:spacing w:after="0"/>
              <w:rPr>
                <w:sz w:val="20"/>
                <w:szCs w:val="20"/>
                <w:color w:val="auto"/>
              </w:rPr>
            </w:pPr>
            <w:r>
              <w:rPr>
                <w:rFonts w:ascii="Arial" w:cs="Arial" w:eastAsia="Arial" w:hAnsi="Arial"/>
                <w:sz w:val="18"/>
                <w:szCs w:val="18"/>
                <w:color w:val="auto"/>
              </w:rPr>
              <w:t>(13,209)</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18,458</w:t>
            </w:r>
          </w:p>
        </w:tc>
      </w:tr>
      <w:tr>
        <w:trPr>
          <w:trHeight w:val="20"/>
        </w:trPr>
        <w:tc>
          <w:tcPr>
            <w:tcW w:w="6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374"/>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Year ended</w:t>
            </w:r>
          </w:p>
        </w:tc>
      </w:tr>
      <w:tr>
        <w:trPr>
          <w:trHeight w:val="170"/>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41"/>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4"/>
              <w:spacing w:after="0" w:line="141"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5"/>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jc w:val="center"/>
              <w:spacing w:after="0" w:line="141" w:lineRule="exact"/>
              <w:rPr>
                <w:sz w:val="20"/>
                <w:szCs w:val="20"/>
                <w:color w:val="auto"/>
              </w:rPr>
            </w:pPr>
            <w:r>
              <w:rPr>
                <w:rFonts w:ascii="Arial" w:cs="Arial" w:eastAsia="Arial" w:hAnsi="Arial"/>
                <w:sz w:val="14"/>
                <w:szCs w:val="14"/>
                <w:b w:val="1"/>
                <w:bCs w:val="1"/>
                <w:color w:val="auto"/>
                <w:w w:val="93"/>
              </w:rPr>
              <w:t>(HK$ in thousands)</w:t>
            </w:r>
          </w:p>
        </w:tc>
        <w:tc>
          <w:tcPr>
            <w:tcW w:w="120" w:type="dxa"/>
            <w:vAlign w:val="bottom"/>
          </w:tcPr>
          <w:p>
            <w:pPr>
              <w:spacing w:after="0"/>
              <w:rPr>
                <w:sz w:val="12"/>
                <w:szCs w:val="12"/>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(4,613)</w:t>
            </w: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(847)</w:t>
            </w:r>
          </w:p>
        </w:tc>
        <w:tc>
          <w:tcPr>
            <w:tcW w:w="36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w:t>
            </w:r>
          </w:p>
        </w:tc>
        <w:tc>
          <w:tcPr>
            <w:tcW w:w="3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(4,613)</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5,581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center"/>
              <w:ind w:left="55"/>
              <w:spacing w:after="0"/>
              <w:rPr>
                <w:sz w:val="20"/>
                <w:szCs w:val="20"/>
                <w:color w:val="auto"/>
              </w:rPr>
            </w:pPr>
            <w:r>
              <w:rPr>
                <w:rFonts w:ascii="Arial" w:cs="Arial" w:eastAsia="Arial" w:hAnsi="Arial"/>
                <w:sz w:val="18"/>
                <w:szCs w:val="18"/>
                <w:color w:val="auto"/>
                <w:w w:val="88"/>
              </w:rPr>
              <w:t>4,699</w:t>
            </w:r>
          </w:p>
        </w:tc>
        <w:tc>
          <w:tcPr>
            <w:tcW w:w="120" w:type="dxa"/>
            <w:vAlign w:val="bottom"/>
          </w:tcPr>
          <w:p>
            <w:pPr>
              <w:spacing w:after="0"/>
              <w:rPr>
                <w:sz w:val="19"/>
                <w:szCs w:val="19"/>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8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left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firstLine="438"/>
        <w:spacing w:after="0" w:line="252" w:lineRule="auto"/>
        <w:rPr>
          <w:sz w:val="20"/>
          <w:szCs w:val="20"/>
          <w:color w:val="auto"/>
        </w:rPr>
      </w:pPr>
      <w:r>
        <w:rPr>
          <w:rFonts w:ascii="Arial" w:cs="Arial" w:eastAsia="Arial" w:hAnsi="Arial"/>
          <w:sz w:val="18"/>
          <w:szCs w:val="18"/>
          <w:color w:val="auto"/>
        </w:rPr>
        <w:t>Under the Contractual Agreements with the VIE, the Company has the power to direct activities of the VIE and VIE’s subsidiaries, and can have assets transferred out of the VIE and VIE’s subsidiaries. Therefore, the Company considers itself the ultimate primary beneficiary of the VIE and there is no asset of the VIE that can only be used to settle obligations of the VIE and VIE’s subsidiaries, except for registered capital of the VIE and their subsidiaries amounting to RMB10 million as of December 31, 2016 and 2017, respectively. Since the VIE are incorporated as limited liability companies under the PRC Company Law, creditors of the VIE do not have recourse to the general credit of the Company. There is currently no contractual arrangement that would require the Company to provide additional financial support to the VIE. However, as the Company is conducting certain businesses through its VIE and VIE’s subsidiary, the Company may provide such support on a discretionary basis in the future, which could expose the Company to a loss.</w:t>
      </w:r>
    </w:p>
    <w:p>
      <w:pPr>
        <w:spacing w:after="0" w:line="195" w:lineRule="exact"/>
        <w:rPr>
          <w:sz w:val="20"/>
          <w:szCs w:val="20"/>
          <w:color w:val="auto"/>
        </w:rPr>
      </w:pPr>
    </w:p>
    <w:p>
      <w:pPr>
        <w:ind w:left="240" w:right="260" w:firstLine="438"/>
        <w:spacing w:after="0" w:line="277" w:lineRule="auto"/>
        <w:rPr>
          <w:sz w:val="20"/>
          <w:szCs w:val="20"/>
          <w:color w:val="auto"/>
        </w:rPr>
      </w:pPr>
      <w:r>
        <w:rPr>
          <w:rFonts w:ascii="Arial" w:cs="Arial" w:eastAsia="Arial" w:hAnsi="Arial"/>
          <w:sz w:val="17"/>
          <w:szCs w:val="17"/>
          <w:color w:val="auto"/>
        </w:rPr>
        <w:t>In the opinion of the Company’s management, the contractual arrangements among its subsidiary, the VIE and its respective Nominee Shareholders are in compliance with current PRC laws and are legally binding and enforceable. However, uncertainties in the interpretation and enforcement of the PRC laws, regulations and policies could limit the Company’s ability to enforce these contractual arrangements. As a result, the Company may be unable to consolidate the VIE and VIE’s subsidiary in the consolidated financial statements.</w:t>
      </w:r>
    </w:p>
    <w:p>
      <w:pPr>
        <w:spacing w:after="0" w:line="1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40"/>
          </w:cols>
          <w:pgMar w:left="240" w:top="457" w:right="6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80" w:hanging="444"/>
        <w:spacing w:after="0" w:line="383" w:lineRule="auto"/>
        <w:tabs>
          <w:tab w:leader="none" w:pos="67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VIE Companies (Continued)</w:t>
      </w:r>
    </w:p>
    <w:p>
      <w:pPr>
        <w:spacing w:after="0" w:line="1" w:lineRule="exact"/>
        <w:rPr>
          <w:sz w:val="20"/>
          <w:szCs w:val="20"/>
          <w:color w:val="auto"/>
        </w:rPr>
      </w:pPr>
    </w:p>
    <w:p>
      <w:pPr>
        <w:ind w:left="660" w:hanging="424"/>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Risks in relation to the VIE structure (Continued)</w:t>
      </w:r>
    </w:p>
    <w:p>
      <w:pPr>
        <w:spacing w:after="0" w:line="129" w:lineRule="exact"/>
        <w:rPr>
          <w:sz w:val="20"/>
          <w:szCs w:val="20"/>
          <w:color w:val="auto"/>
        </w:rPr>
      </w:pPr>
    </w:p>
    <w:p>
      <w:pPr>
        <w:ind w:left="240" w:firstLine="438"/>
        <w:spacing w:after="0" w:line="267" w:lineRule="auto"/>
        <w:rPr>
          <w:sz w:val="20"/>
          <w:szCs w:val="20"/>
          <w:color w:val="auto"/>
        </w:rPr>
      </w:pPr>
      <w:r>
        <w:rPr>
          <w:rFonts w:ascii="Arial" w:cs="Arial" w:eastAsia="Arial" w:hAnsi="Arial"/>
          <w:sz w:val="17"/>
          <w:szCs w:val="17"/>
          <w:color w:val="auto"/>
        </w:rPr>
        <w:t>In January 2015, the Ministry of Commerce (“MOFCOM”), released for public comment a proposed PRC law, the Draft Foreign Investment Enterprises (“FIE”) Law, that appears to include VIE within the scope of entities that could be considered to be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include the Group’s contractual arrangements with its VIE, and as a result, the Group’s VIE could become explicitly subject to the current restrictions on foreign investment in certain categories of industry. The Draft FIE Law includes provisions that would exempt from the definition of FIEs where the ultimate controlling shareholders are either entities organized under PRC law or individuals who are PRC citizens. The Draft FIE Law is silent as to what type of enforcement action might be taken against existing VIE, that operates in restricted or prohibited industries and is not controlled by entities organized under PRC law or individuals who are PRC citizens. If the restrictions and prohibitions on FIEs included in the Draft FIE Law are enacted and enforced in their current form, the Group’s ability to use the contractual arrangements with its VIE and the Group’s ability to conduct business through the VIE could be severely limited.</w:t>
      </w:r>
    </w:p>
    <w:p>
      <w:pPr>
        <w:spacing w:after="0" w:line="181" w:lineRule="exact"/>
        <w:rPr>
          <w:sz w:val="20"/>
          <w:szCs w:val="20"/>
          <w:color w:val="auto"/>
        </w:rPr>
      </w:pPr>
    </w:p>
    <w:p>
      <w:pPr>
        <w:ind w:left="240" w:right="40" w:firstLine="438"/>
        <w:spacing w:after="0" w:line="277" w:lineRule="auto"/>
        <w:rPr>
          <w:sz w:val="20"/>
          <w:szCs w:val="20"/>
          <w:color w:val="auto"/>
        </w:rPr>
      </w:pPr>
      <w:r>
        <w:rPr>
          <w:rFonts w:ascii="Arial" w:cs="Arial" w:eastAsia="Arial" w:hAnsi="Arial"/>
          <w:sz w:val="17"/>
          <w:szCs w:val="17"/>
          <w:color w:val="auto"/>
        </w:rPr>
        <w:t>The Company’s ability to control the VIE also depends on the power of attorney Shen Si has to vote on all matters requiring shareholders’ approvals in the VIE. As noted above, the Company believes these power of attorney are legally binding and enforceable but may not be as effective as direct equity ownership. In addition, if the Group’s corporate structure or the contractual arrangements with the VIE were found to be in violation of any existing PRC laws and regulations, the PRC regulatory authorities could, within their respective jurisdictions:</w:t>
      </w:r>
    </w:p>
    <w:p>
      <w:pPr>
        <w:spacing w:after="0" w:line="78" w:lineRule="exact"/>
        <w:rPr>
          <w:sz w:val="20"/>
          <w:szCs w:val="20"/>
          <w:color w:val="auto"/>
        </w:rPr>
      </w:pPr>
    </w:p>
    <w:p>
      <w:pPr>
        <w:ind w:left="1100" w:hanging="327"/>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revoke the Group’s business and operating licenses;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require the Group to discontinue or restrict its operations;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restrict the Group’s right to collect revenues;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block the Group’s websites;</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require the Group to restructure its operations, re-apply for the necessary licenses or relocate the Group’s businesses, staff and assets;</w:t>
      </w:r>
    </w:p>
    <w:p>
      <w:pPr>
        <w:spacing w:after="0" w:line="151" w:lineRule="exact"/>
        <w:rPr>
          <w:rFonts w:ascii="Arial" w:cs="Arial" w:eastAsia="Arial" w:hAnsi="Arial"/>
          <w:sz w:val="16"/>
          <w:szCs w:val="16"/>
          <w:color w:val="auto"/>
        </w:rPr>
      </w:pPr>
    </w:p>
    <w:p>
      <w:pPr>
        <w:ind w:left="1100" w:hanging="327"/>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impose additional conditions or requirements with which the Group may not be able to comply; or</w:t>
      </w:r>
    </w:p>
    <w:p>
      <w:pPr>
        <w:spacing w:after="0" w:line="128" w:lineRule="exact"/>
        <w:rPr>
          <w:rFonts w:ascii="Arial" w:cs="Arial" w:eastAsia="Arial" w:hAnsi="Arial"/>
          <w:sz w:val="18"/>
          <w:szCs w:val="18"/>
          <w:color w:val="auto"/>
        </w:rPr>
      </w:pPr>
    </w:p>
    <w:p>
      <w:pPr>
        <w:ind w:left="1100" w:hanging="327"/>
        <w:spacing w:after="0"/>
        <w:tabs>
          <w:tab w:leader="none" w:pos="11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take other regulatory or enforcement actions against the Group that could be harmful to the Group’s business.</w:t>
      </w:r>
    </w:p>
    <w:p>
      <w:pPr>
        <w:spacing w:after="0" w:line="223" w:lineRule="exact"/>
        <w:rPr>
          <w:sz w:val="20"/>
          <w:szCs w:val="20"/>
          <w:color w:val="auto"/>
        </w:rPr>
      </w:pPr>
    </w:p>
    <w:p>
      <w:pPr>
        <w:ind w:left="240" w:right="160" w:firstLine="438"/>
        <w:spacing w:after="0" w:line="277" w:lineRule="auto"/>
        <w:rPr>
          <w:sz w:val="20"/>
          <w:szCs w:val="20"/>
          <w:color w:val="auto"/>
        </w:rPr>
      </w:pPr>
      <w:r>
        <w:rPr>
          <w:rFonts w:ascii="Arial" w:cs="Arial" w:eastAsia="Arial" w:hAnsi="Arial"/>
          <w:sz w:val="17"/>
          <w:szCs w:val="17"/>
          <w:color w:val="auto"/>
        </w:rPr>
        <w:t>The imposition of any of these restrictions or actions may result in a material adverse effect on the Group’s ability to conduct its business. In addition, if the imposition of any of these restrictions causes the Group to lose the right to direct the activities of the VIE or the right to receive their economic benefits, the Group would no longer be able to consolidate the financial statements of the VIE. In the opinion of management, the likelihood of losing the benefits in respect of the Group’s current ownership structure or the contractual arrangements with its VIE is remote.</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7"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60" w:hanging="444"/>
        <w:spacing w:after="0" w:line="383" w:lineRule="auto"/>
        <w:tabs>
          <w:tab w:leader="none" w:pos="672"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ind w:left="240" w:firstLine="438"/>
        <w:spacing w:after="0" w:line="288"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cost and expenses during the reported period in the consolidated financial statements and accompanying notes. Significant accounting estimates reflected in the Group’s consolidated financial statements mainly include, but are not limited to, assessment of whether the Group acts as a principal or an agent in different revenue streams, the determination of estimated selling prices of multiple element revenue contracts, the estimation of selling and marketing expense from incentive program, the valuation and recognition of share-based compensation arrangements, depreciable lives of property and equipment, useful life of intangible assets, assessment for impairment of loans and advances, provision of income tax and valuation allowance for deferred tax asset as well as determination of the fair value of preferred shares and ordinary shares. Actual results could differ from those estimates.</w:t>
      </w:r>
    </w:p>
    <w:p>
      <w:pPr>
        <w:spacing w:after="0" w:line="27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Comprehensive Income and Foreign Currency Translation</w:t>
      </w:r>
    </w:p>
    <w:p>
      <w:pPr>
        <w:spacing w:after="0" w:line="115"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The Group’s operating results are reported in the consolidated statements of comprehensive loss pursuant to FASB ASC Topic 220, “Comprehensive Income”. Comprehensive income consists of two components: net income and other comprehensive income (“OCI”). The Group’s OCI is comprised of gains and losses resulting from translating foreign currency financial statements of entities, of which functional currency is other than Hong Kong dollar which is the presentational currency of the Group, net of related income taxes, where applicable. Such subsidiaries’ assets and liabilities are translated into Hong Kong dollars at period-end exchange rates, and revenues and expenses are translated at average exchange rates prevailing during the period. Adjustments that result from translating amounts from a subsidiary’s functional currency to the Hong Kong dollar (as described above) are reported net of tax, where applicable, in accumulated OCI in the consolidated balance sheets.</w:t>
      </w:r>
    </w:p>
    <w:p>
      <w:pPr>
        <w:spacing w:after="0" w:line="28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Convenience Translation</w:t>
      </w:r>
    </w:p>
    <w:p>
      <w:pPr>
        <w:spacing w:after="0" w:line="115" w:lineRule="exact"/>
        <w:rPr>
          <w:sz w:val="20"/>
          <w:szCs w:val="20"/>
          <w:color w:val="auto"/>
        </w:rPr>
      </w:pPr>
    </w:p>
    <w:p>
      <w:pPr>
        <w:ind w:left="240" w:right="160" w:firstLine="438"/>
        <w:spacing w:after="0" w:line="255" w:lineRule="auto"/>
        <w:rPr>
          <w:sz w:val="20"/>
          <w:szCs w:val="20"/>
          <w:color w:val="auto"/>
        </w:rPr>
      </w:pPr>
      <w:r>
        <w:rPr>
          <w:rFonts w:ascii="Arial" w:cs="Arial" w:eastAsia="Arial" w:hAnsi="Arial"/>
          <w:sz w:val="18"/>
          <w:szCs w:val="18"/>
          <w:color w:val="auto"/>
        </w:rPr>
        <w:t>Translations of balances in the consolidated balance sheets, consolidated statements of comprehensive loss and consolidated statements of cash flows from HK$ into US$ as of and for the year ended December 31, 2017 are solely for the convenience of the readers and were calculated at the rate of US$1.00=HK$7.8128, representing the noon buying rate set forth in the H.10 statistical release of the U.S. Federal Reserve Board on December 29, 2017. No representation is made that the HK$ amounts could have been, or could be, converted, realized or settled into US$ at that rate on December 29, 2017, or at any other rate.</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Available-for-Sale Financial Securities</w:t>
      </w:r>
    </w:p>
    <w:p>
      <w:pPr>
        <w:spacing w:after="0" w:line="115" w:lineRule="exact"/>
        <w:rPr>
          <w:sz w:val="20"/>
          <w:szCs w:val="20"/>
          <w:color w:val="auto"/>
        </w:rPr>
      </w:pPr>
    </w:p>
    <w:p>
      <w:pPr>
        <w:ind w:left="240" w:right="120" w:firstLine="438"/>
        <w:spacing w:after="0" w:line="300" w:lineRule="auto"/>
        <w:rPr>
          <w:sz w:val="20"/>
          <w:szCs w:val="20"/>
          <w:color w:val="auto"/>
        </w:rPr>
      </w:pPr>
      <w:r>
        <w:rPr>
          <w:rFonts w:ascii="Arial" w:cs="Arial" w:eastAsia="Arial" w:hAnsi="Arial"/>
          <w:sz w:val="16"/>
          <w:szCs w:val="16"/>
          <w:color w:val="auto"/>
        </w:rPr>
        <w:t>Available-for-sale financial securities include debt securities and are measured at fair value. Debt securities in this category are wealth management product with expected return rate of benchmark interest rate for one-year Renminbi deposits plus 1.6%, principal amounting to HK$2,236 thousand and nil as of December 31, 2016 and 2017 respectively. The wealth management product is issued by China Merchant Bank Co., Ltd. which can be redeemed at designated date set by the product manual, and the Group had redeemed all its shares of the product in 2017.</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Group didn’t identify any sign for available-for-sale debt securities to impair.</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80"/>
          </w:cols>
          <w:pgMar w:left="240" w:top="458"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40" w:hanging="444"/>
        <w:spacing w:after="0" w:line="383" w:lineRule="auto"/>
        <w:tabs>
          <w:tab w:leader="none" w:pos="672"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Loans and advances</w:t>
      </w:r>
    </w:p>
    <w:p>
      <w:pPr>
        <w:spacing w:after="0" w:line="1" w:lineRule="exact"/>
        <w:rPr>
          <w:sz w:val="20"/>
          <w:szCs w:val="20"/>
          <w:color w:val="auto"/>
        </w:rPr>
      </w:pPr>
    </w:p>
    <w:p>
      <w:pPr>
        <w:ind w:left="240" w:right="460" w:firstLine="438"/>
        <w:spacing w:after="0" w:line="275" w:lineRule="auto"/>
        <w:rPr>
          <w:sz w:val="20"/>
          <w:szCs w:val="20"/>
          <w:color w:val="auto"/>
        </w:rPr>
      </w:pPr>
      <w:r>
        <w:rPr>
          <w:rFonts w:ascii="Arial" w:cs="Arial" w:eastAsia="Arial" w:hAnsi="Arial"/>
          <w:sz w:val="18"/>
          <w:szCs w:val="18"/>
          <w:color w:val="auto"/>
        </w:rPr>
        <w:t>Loans and advances include margin loans and Initial Public Offering (“IPO”) loans extended to clients and other advances, collateralized by securities and are carried at the amortized cost, net of an allowance for doubtful accounts.</w:t>
      </w:r>
    </w:p>
    <w:p>
      <w:pPr>
        <w:spacing w:after="0" w:line="170" w:lineRule="exact"/>
        <w:rPr>
          <w:sz w:val="20"/>
          <w:szCs w:val="20"/>
          <w:color w:val="auto"/>
        </w:rPr>
      </w:pPr>
    </w:p>
    <w:p>
      <w:pPr>
        <w:ind w:left="240" w:right="20" w:firstLine="438"/>
        <w:spacing w:after="0" w:line="274" w:lineRule="auto"/>
        <w:rPr>
          <w:sz w:val="20"/>
          <w:szCs w:val="20"/>
          <w:color w:val="auto"/>
        </w:rPr>
      </w:pPr>
      <w:r>
        <w:rPr>
          <w:rFonts w:ascii="Arial" w:cs="Arial" w:eastAsia="Arial" w:hAnsi="Arial"/>
          <w:sz w:val="17"/>
          <w:szCs w:val="17"/>
          <w:color w:val="auto"/>
        </w:rPr>
        <w:t>The Operating Company monitors margin levels of margin loans and requires clients to deposit additional collateral to meet minimum collateral requirements if the fair value of the collateral reduced. Clients with margin loans have agreed to allow the Operating Company to pledge collateralized securities. Securities owned by clients, including those that collateralize margin loans or other similar transactions, are not reported in the consolidated balance sheets. The impairment provision is recognized when the fair value of collaterals fall under the carrying amount of margin loans. The allowance for doubtful accounts for clients and related activity was immaterial for the period presented.</w:t>
      </w:r>
    </w:p>
    <w:p>
      <w:pPr>
        <w:spacing w:after="0" w:line="173" w:lineRule="exact"/>
        <w:rPr>
          <w:sz w:val="20"/>
          <w:szCs w:val="20"/>
          <w:color w:val="auto"/>
        </w:rPr>
      </w:pPr>
    </w:p>
    <w:p>
      <w:pPr>
        <w:ind w:left="240" w:right="240" w:firstLine="438"/>
        <w:spacing w:after="0" w:line="277" w:lineRule="auto"/>
        <w:rPr>
          <w:sz w:val="20"/>
          <w:szCs w:val="20"/>
          <w:color w:val="auto"/>
        </w:rPr>
      </w:pPr>
      <w:r>
        <w:rPr>
          <w:rFonts w:ascii="Arial" w:cs="Arial" w:eastAsia="Arial" w:hAnsi="Arial"/>
          <w:sz w:val="17"/>
          <w:szCs w:val="17"/>
          <w:color w:val="auto"/>
        </w:rPr>
        <w:t>IPO loans for subscription of new shares are normally settled within one week from the drawdown date. Once IPO stocks are alloted, the Operating Company requires clients to repay the IPO loans. Force liquidation action would be taken if the clients fail to settle their shortfall after the IPO allotment result is announced. There were no outstanding IPO loan balances as of 31 December 2016 and 31 December 2017. The allowance for doubtful accounts for clients and related activity was immaterial for the period presented.</w:t>
      </w:r>
    </w:p>
    <w:p>
      <w:pPr>
        <w:spacing w:after="0" w:line="172" w:lineRule="exact"/>
        <w:rPr>
          <w:sz w:val="20"/>
          <w:szCs w:val="20"/>
          <w:color w:val="auto"/>
        </w:rPr>
      </w:pPr>
    </w:p>
    <w:p>
      <w:pPr>
        <w:ind w:left="240" w:right="220" w:firstLine="438"/>
        <w:spacing w:after="0" w:line="275" w:lineRule="auto"/>
        <w:rPr>
          <w:sz w:val="20"/>
          <w:szCs w:val="20"/>
          <w:color w:val="auto"/>
        </w:rPr>
      </w:pPr>
      <w:r>
        <w:rPr>
          <w:rFonts w:ascii="Arial" w:cs="Arial" w:eastAsia="Arial" w:hAnsi="Arial"/>
          <w:sz w:val="18"/>
          <w:szCs w:val="18"/>
          <w:color w:val="auto"/>
        </w:rPr>
        <w:t>Other advances consist of bridge loans to enterprises which pledged unlisted or listed shares they hold as collateral. The allowance for doubtful accounts for clients and related activity was immaterial for the period presented.</w:t>
      </w:r>
    </w:p>
    <w:p>
      <w:pPr>
        <w:spacing w:after="0" w:line="170" w:lineRule="exact"/>
        <w:rPr>
          <w:sz w:val="20"/>
          <w:szCs w:val="20"/>
          <w:color w:val="auto"/>
        </w:rPr>
      </w:pPr>
    </w:p>
    <w:p>
      <w:pPr>
        <w:ind w:left="240" w:right="20" w:firstLine="438"/>
        <w:spacing w:after="0" w:line="257" w:lineRule="auto"/>
        <w:rPr>
          <w:sz w:val="20"/>
          <w:szCs w:val="20"/>
          <w:color w:val="auto"/>
        </w:rPr>
      </w:pPr>
      <w:r>
        <w:rPr>
          <w:rFonts w:ascii="Arial" w:cs="Arial" w:eastAsia="Arial" w:hAnsi="Arial"/>
          <w:sz w:val="18"/>
          <w:szCs w:val="18"/>
          <w:color w:val="auto"/>
        </w:rPr>
        <w:t>Loans and advances are initially recorded net of directly attributable transaction costs and are measured at subsequent reporting dates at amortized cost. Finance charges, premiums payable on settlement or redemption and direct costs are accounted for on an accrual basis to the surplus or deficit using the effective interest method and are added to the carrying amount of the instrument to the extent that they are not settled in the period in which they arise.</w:t>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Trading Receivables from and Payables to Clients</w:t>
      </w:r>
    </w:p>
    <w:p>
      <w:pPr>
        <w:spacing w:after="0" w:line="115" w:lineRule="exact"/>
        <w:rPr>
          <w:sz w:val="20"/>
          <w:szCs w:val="20"/>
          <w:color w:val="auto"/>
        </w:rPr>
      </w:pPr>
    </w:p>
    <w:p>
      <w:pPr>
        <w:ind w:left="240" w:right="320" w:firstLine="438"/>
        <w:spacing w:after="0" w:line="275" w:lineRule="auto"/>
        <w:rPr>
          <w:sz w:val="20"/>
          <w:szCs w:val="20"/>
          <w:color w:val="auto"/>
        </w:rPr>
      </w:pPr>
      <w:r>
        <w:rPr>
          <w:rFonts w:ascii="Arial" w:cs="Arial" w:eastAsia="Arial" w:hAnsi="Arial"/>
          <w:sz w:val="18"/>
          <w:szCs w:val="18"/>
          <w:color w:val="auto"/>
        </w:rPr>
        <w:t>Client securities transactions are recorded on a settlement date basis. Trading receivables from and payables to clients include amounts due on brokerage transactions.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Receivables from and Payables to Brokers and Clearing Organization</w:t>
      </w:r>
    </w:p>
    <w:p>
      <w:pPr>
        <w:spacing w:after="0" w:line="115" w:lineRule="exact"/>
        <w:rPr>
          <w:sz w:val="20"/>
          <w:szCs w:val="20"/>
          <w:color w:val="auto"/>
        </w:rPr>
      </w:pPr>
    </w:p>
    <w:p>
      <w:pPr>
        <w:ind w:left="240" w:firstLine="438"/>
        <w:spacing w:after="0" w:line="309" w:lineRule="auto"/>
        <w:rPr>
          <w:sz w:val="20"/>
          <w:szCs w:val="20"/>
          <w:color w:val="auto"/>
        </w:rPr>
      </w:pPr>
      <w:r>
        <w:rPr>
          <w:rFonts w:ascii="Arial" w:cs="Arial" w:eastAsia="Arial" w:hAnsi="Arial"/>
          <w:sz w:val="16"/>
          <w:szCs w:val="16"/>
          <w:color w:val="auto"/>
        </w:rPr>
        <w:t>Receivables from and payables to brokers and clearing organization mainly include receivables and payables from unsettled trades, including amounts receivable for securities not delivered by the Operating Company to the purchaser by the settlement date and cash deposits. Payables to brokers and clearing organization also include amounts payable for securities not received by the Operating Company from a seller by the settlement date.</w:t>
      </w:r>
    </w:p>
    <w:p>
      <w:pPr>
        <w:spacing w:after="0" w:line="149" w:lineRule="exact"/>
        <w:rPr>
          <w:sz w:val="20"/>
          <w:szCs w:val="20"/>
          <w:color w:val="auto"/>
        </w:rPr>
      </w:pPr>
    </w:p>
    <w:p>
      <w:pPr>
        <w:jc w:val="center"/>
        <w:ind w:left="780" w:right="140"/>
        <w:spacing w:after="0" w:line="446" w:lineRule="auto"/>
        <w:rPr>
          <w:sz w:val="20"/>
          <w:szCs w:val="20"/>
          <w:color w:val="auto"/>
        </w:rPr>
      </w:pPr>
      <w:r>
        <w:rPr>
          <w:rFonts w:ascii="Arial" w:cs="Arial" w:eastAsia="Arial" w:hAnsi="Arial"/>
          <w:sz w:val="18"/>
          <w:szCs w:val="18"/>
          <w:color w:val="auto"/>
        </w:rPr>
        <w:t>Clearing settlement fund deposited in the clearing organizations for the clearing purpose is recognized in receivables from clearing organization. F-16</w:t>
      </w:r>
    </w:p>
    <w:p>
      <w:pPr>
        <w:sectPr>
          <w:pgSz w:w="11900" w:h="16838" w:orient="portrait"/>
          <w:cols w:equalWidth="0" w:num="1">
            <w:col w:w="11160"/>
          </w:cols>
          <w:pgMar w:left="240" w:top="458"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1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Receivables from and Payables to Brokers and Clearing Organization (Continued)</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Operating Company borrowed margin loan from executing brokers in the United States, with the amount of HK$3,034 thousand and</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HK$920,206 thousand as of December 31, 2016 and 2017, respectively, and with the benchmark interest rate plus premium differentiated depending on</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trading volume, and immediately lent to margin clients. Margin financing loan borrowed is recognized in the payables to brokers.</w:t>
      </w:r>
    </w:p>
    <w:p>
      <w:pPr>
        <w:spacing w:after="0" w:line="31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Interest Receivable and Payable</w:t>
      </w:r>
    </w:p>
    <w:p>
      <w:pPr>
        <w:spacing w:after="0" w:line="115" w:lineRule="exact"/>
        <w:rPr>
          <w:sz w:val="20"/>
          <w:szCs w:val="20"/>
          <w:color w:val="auto"/>
        </w:rPr>
      </w:pPr>
    </w:p>
    <w:p>
      <w:pPr>
        <w:ind w:left="240" w:right="180" w:firstLine="438"/>
        <w:spacing w:after="0" w:line="275" w:lineRule="auto"/>
        <w:rPr>
          <w:sz w:val="20"/>
          <w:szCs w:val="20"/>
          <w:color w:val="auto"/>
        </w:rPr>
      </w:pPr>
      <w:r>
        <w:rPr>
          <w:rFonts w:ascii="Arial" w:cs="Arial" w:eastAsia="Arial" w:hAnsi="Arial"/>
          <w:sz w:val="18"/>
          <w:szCs w:val="18"/>
          <w:color w:val="auto"/>
        </w:rPr>
        <w:t>Interest receivable is calculated based on the contractual interest rate of bank deposit, loans and advances on an accrual basis, and is recorded as interest income as earned.</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Interest payable is calculated based on the contractual interest rates of short-term borrowings on an accrual basis.</w:t>
      </w:r>
    </w:p>
    <w:p>
      <w:pPr>
        <w:spacing w:after="0" w:line="33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Securities Borrowing and Lending Transactions</w:t>
      </w:r>
    </w:p>
    <w:p>
      <w:pPr>
        <w:spacing w:after="0" w:line="115" w:lineRule="exact"/>
        <w:rPr>
          <w:sz w:val="20"/>
          <w:szCs w:val="20"/>
          <w:color w:val="auto"/>
        </w:rPr>
      </w:pPr>
    </w:p>
    <w:p>
      <w:pPr>
        <w:ind w:left="240" w:right="120" w:firstLine="438"/>
        <w:spacing w:after="0" w:line="255" w:lineRule="auto"/>
        <w:rPr>
          <w:sz w:val="20"/>
          <w:szCs w:val="20"/>
          <w:color w:val="auto"/>
        </w:rPr>
      </w:pPr>
      <w:r>
        <w:rPr>
          <w:rFonts w:ascii="Arial" w:cs="Arial" w:eastAsia="Arial" w:hAnsi="Arial"/>
          <w:sz w:val="18"/>
          <w:szCs w:val="18"/>
          <w:color w:val="auto"/>
        </w:rPr>
        <w:t>Deposits paid for securities borrowed and deposits received for securities loaned are recorded at the amount of cash collateral advanced or received plus accrued interest. Securities borrowing transactions require the Operating Company to deposit cash with the lender whereas securities loaned result in the Operating Company receiving collateral in the form of cash from clients, with both requiring cash in an amount generally in excess of certain percentage of the market value of the equity securities, depending on the quality of the equity securities. Securities lending transactions have overnight or continuous remaining contractual maturities.</w:t>
      </w:r>
    </w:p>
    <w:p>
      <w:pPr>
        <w:spacing w:after="0" w:line="189" w:lineRule="exact"/>
        <w:rPr>
          <w:sz w:val="20"/>
          <w:szCs w:val="20"/>
          <w:color w:val="auto"/>
        </w:rPr>
      </w:pPr>
    </w:p>
    <w:p>
      <w:pPr>
        <w:ind w:left="240" w:firstLine="438"/>
        <w:spacing w:after="0" w:line="253" w:lineRule="auto"/>
        <w:rPr>
          <w:sz w:val="20"/>
          <w:szCs w:val="20"/>
          <w:color w:val="auto"/>
        </w:rPr>
      </w:pPr>
      <w:r>
        <w:rPr>
          <w:rFonts w:ascii="Arial" w:cs="Arial" w:eastAsia="Arial" w:hAnsi="Arial"/>
          <w:sz w:val="18"/>
          <w:szCs w:val="18"/>
          <w:color w:val="auto"/>
        </w:rPr>
        <w:t>Securities lending transactions expose the Operating Company to counterparty credit risk and market risk. To manage the counterparty risk, the Operating Company maintains internal risk management policies, holds regular management meetings for approving counterparties, reviews and analyzes the adequacy of pledged cash collateral of each counterparty, and monitors its positions with each counterparty on an ongoing basis. The Operating Company monitors the market value of the securities borrowed and loaned using collateral arrangements that require additional cash collateral to be obtained from counterparties based on changes in market value to maintain specified collateral levels. During the track record period, the securities borrowed from the lender would be immediately lent to clients. Since the length of time that the Operating Company would hold the securities is minimal, the market risk is insignificant.</w:t>
      </w:r>
    </w:p>
    <w:p>
      <w:pPr>
        <w:spacing w:after="0" w:line="29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9" w:lineRule="exact"/>
        <w:rPr>
          <w:sz w:val="20"/>
          <w:szCs w:val="20"/>
          <w:color w:val="auto"/>
        </w:rPr>
      </w:pPr>
    </w:p>
    <w:p>
      <w:pPr>
        <w:ind w:left="660" w:hanging="424"/>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Brokerage commission and handling charge income</w:t>
      </w:r>
    </w:p>
    <w:p>
      <w:pPr>
        <w:spacing w:after="0" w:line="11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Brokerage commission income earned for executing and/or clearing transactions are accrued on a trade date basis.</w:t>
      </w:r>
    </w:p>
    <w:p>
      <w:pPr>
        <w:spacing w:after="0" w:line="223" w:lineRule="exact"/>
        <w:rPr>
          <w:sz w:val="20"/>
          <w:szCs w:val="20"/>
          <w:color w:val="auto"/>
        </w:rPr>
      </w:pPr>
    </w:p>
    <w:p>
      <w:pPr>
        <w:ind w:left="240" w:right="520" w:firstLine="438"/>
        <w:spacing w:after="0" w:line="275" w:lineRule="auto"/>
        <w:rPr>
          <w:sz w:val="20"/>
          <w:szCs w:val="20"/>
          <w:color w:val="auto"/>
        </w:rPr>
      </w:pPr>
      <w:r>
        <w:rPr>
          <w:rFonts w:ascii="Arial" w:cs="Arial" w:eastAsia="Arial" w:hAnsi="Arial"/>
          <w:sz w:val="18"/>
          <w:szCs w:val="18"/>
          <w:color w:val="auto"/>
        </w:rPr>
        <w:t>Handling charge income arise from the services such as settlement services, subscription and dividend collection handling services, etc, are accrued on a trade date basis.</w:t>
      </w:r>
    </w:p>
    <w:p>
      <w:pPr>
        <w:spacing w:after="0" w:line="318" w:lineRule="exact"/>
        <w:rPr>
          <w:sz w:val="20"/>
          <w:szCs w:val="20"/>
          <w:color w:val="auto"/>
        </w:rPr>
      </w:pPr>
    </w:p>
    <w:p>
      <w:pPr>
        <w:ind w:left="660" w:hanging="424"/>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115" w:lineRule="exact"/>
        <w:rPr>
          <w:sz w:val="20"/>
          <w:szCs w:val="20"/>
          <w:color w:val="auto"/>
        </w:rPr>
      </w:pPr>
    </w:p>
    <w:p>
      <w:pPr>
        <w:jc w:val="both"/>
        <w:ind w:left="240" w:right="260" w:firstLine="438"/>
        <w:spacing w:after="0" w:line="262" w:lineRule="auto"/>
        <w:rPr>
          <w:sz w:val="20"/>
          <w:szCs w:val="20"/>
          <w:color w:val="auto"/>
        </w:rPr>
      </w:pPr>
      <w:r>
        <w:rPr>
          <w:rFonts w:ascii="Arial" w:cs="Arial" w:eastAsia="Arial" w:hAnsi="Arial"/>
          <w:sz w:val="18"/>
          <w:szCs w:val="18"/>
          <w:color w:val="auto"/>
        </w:rPr>
        <w:t>The Group earns interest income primarily in connection with its margin financing and securities lending services, IPO financing and deposits with banks, which are recorded on an accrual basis and are included in interest income in the consolidated statements of comprehensive loss. Interest income is recognized as it accrues using the effective interest method.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240" w:top="457"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60" w:hanging="444"/>
        <w:spacing w:after="0" w:line="383" w:lineRule="auto"/>
        <w:tabs>
          <w:tab w:leader="none" w:pos="672"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Revenue Recognition (Continued)</w:t>
      </w:r>
    </w:p>
    <w:p>
      <w:pPr>
        <w:spacing w:after="0" w:line="1" w:lineRule="exact"/>
        <w:rPr>
          <w:sz w:val="20"/>
          <w:szCs w:val="20"/>
          <w:color w:val="auto"/>
        </w:rPr>
      </w:pPr>
    </w:p>
    <w:p>
      <w:pPr>
        <w:ind w:left="660" w:hanging="424"/>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Other income</w:t>
      </w:r>
    </w:p>
    <w:p>
      <w:pPr>
        <w:spacing w:after="0" w:line="115" w:lineRule="exact"/>
        <w:rPr>
          <w:sz w:val="20"/>
          <w:szCs w:val="20"/>
          <w:color w:val="auto"/>
        </w:rPr>
      </w:pPr>
    </w:p>
    <w:p>
      <w:pPr>
        <w:jc w:val="both"/>
        <w:ind w:left="240" w:right="160" w:firstLine="438"/>
        <w:spacing w:after="0" w:line="262" w:lineRule="auto"/>
        <w:rPr>
          <w:sz w:val="20"/>
          <w:szCs w:val="20"/>
          <w:color w:val="auto"/>
        </w:rPr>
      </w:pPr>
      <w:r>
        <w:rPr>
          <w:rFonts w:ascii="Arial" w:cs="Arial" w:eastAsia="Arial" w:hAnsi="Arial"/>
          <w:sz w:val="18"/>
          <w:szCs w:val="18"/>
          <w:color w:val="auto"/>
        </w:rPr>
        <w:t>Other income consists of enterprise public relations service charge income provided to enterprise clients, underwriting income, IPO subscription service charge income, currency exchange service income from clients, income from market data service, and client referral income from brokers, etc. Other income is recognized when the related services are rendered.</w:t>
      </w:r>
    </w:p>
    <w:p>
      <w:pPr>
        <w:spacing w:after="0" w:line="181" w:lineRule="exact"/>
        <w:rPr>
          <w:sz w:val="20"/>
          <w:szCs w:val="20"/>
          <w:color w:val="auto"/>
        </w:rPr>
      </w:pPr>
    </w:p>
    <w:p>
      <w:pPr>
        <w:jc w:val="both"/>
        <w:ind w:left="240" w:firstLine="438"/>
        <w:spacing w:after="0" w:line="257" w:lineRule="auto"/>
        <w:rPr>
          <w:sz w:val="20"/>
          <w:szCs w:val="20"/>
          <w:color w:val="auto"/>
        </w:rPr>
      </w:pPr>
      <w:r>
        <w:rPr>
          <w:rFonts w:ascii="Arial" w:cs="Arial" w:eastAsia="Arial" w:hAnsi="Arial"/>
          <w:sz w:val="18"/>
          <w:szCs w:val="18"/>
          <w:color w:val="auto"/>
        </w:rPr>
        <w:t xml:space="preserve">Enterprise public relations service charge income is charged to institution users by providing platform to post their detailed stock information and latest news in </w:t>
      </w:r>
      <w:r>
        <w:rPr>
          <w:rFonts w:ascii="Arial" w:cs="Arial" w:eastAsia="Arial" w:hAnsi="Arial"/>
          <w:sz w:val="18"/>
          <w:szCs w:val="18"/>
          <w:i w:val="1"/>
          <w:iCs w:val="1"/>
          <w:color w:val="auto"/>
        </w:rPr>
        <w:t>Futu NiuNiu</w:t>
      </w:r>
      <w:r>
        <w:rPr>
          <w:rFonts w:ascii="Arial" w:cs="Arial" w:eastAsia="Arial" w:hAnsi="Arial"/>
          <w:sz w:val="18"/>
          <w:szCs w:val="18"/>
          <w:color w:val="auto"/>
        </w:rPr>
        <w:t xml:space="preserve"> app, as well as providing a lively, interactive community among their potential investors to exchange investment views, share trading experience and socialize with each other. Unearned enterprise public relations service income of which the Group had received the consideration is recorded as contract liabilities (deferred revenue).</w:t>
      </w:r>
    </w:p>
    <w:p>
      <w:pPr>
        <w:spacing w:after="0" w:line="188" w:lineRule="exact"/>
        <w:rPr>
          <w:sz w:val="20"/>
          <w:szCs w:val="20"/>
          <w:color w:val="auto"/>
        </w:rPr>
      </w:pPr>
    </w:p>
    <w:p>
      <w:pPr>
        <w:ind w:left="240" w:right="80" w:firstLine="438"/>
        <w:spacing w:after="0" w:line="275" w:lineRule="auto"/>
        <w:rPr>
          <w:sz w:val="20"/>
          <w:szCs w:val="20"/>
          <w:color w:val="auto"/>
        </w:rPr>
      </w:pPr>
      <w:r>
        <w:rPr>
          <w:rFonts w:ascii="Arial" w:cs="Arial" w:eastAsia="Arial" w:hAnsi="Arial"/>
          <w:sz w:val="18"/>
          <w:szCs w:val="18"/>
          <w:color w:val="auto"/>
        </w:rPr>
        <w:t>IPO subscription service charge income is derived from provision of new share subscription services in relation to IPOs in the Hong Kong capital market.</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Market information and data income are the amounts charged to </w:t>
      </w:r>
      <w:r>
        <w:rPr>
          <w:rFonts w:ascii="Arial" w:cs="Arial" w:eastAsia="Arial" w:hAnsi="Arial"/>
          <w:sz w:val="18"/>
          <w:szCs w:val="18"/>
          <w:i w:val="1"/>
          <w:iCs w:val="1"/>
          <w:color w:val="auto"/>
        </w:rPr>
        <w:t>Futu NiuNiu</w:t>
      </w:r>
      <w:r>
        <w:rPr>
          <w:rFonts w:ascii="Arial" w:cs="Arial" w:eastAsia="Arial" w:hAnsi="Arial"/>
          <w:sz w:val="18"/>
          <w:szCs w:val="18"/>
          <w:color w:val="auto"/>
        </w:rPr>
        <w:t xml:space="preserve"> app users for market data service.</w:t>
      </w:r>
    </w:p>
    <w:p>
      <w:pPr>
        <w:spacing w:after="0" w:line="223" w:lineRule="exact"/>
        <w:rPr>
          <w:sz w:val="20"/>
          <w:szCs w:val="20"/>
          <w:color w:val="auto"/>
        </w:rPr>
      </w:pPr>
    </w:p>
    <w:p>
      <w:pPr>
        <w:ind w:left="240" w:right="200" w:firstLine="438"/>
        <w:spacing w:after="0" w:line="275" w:lineRule="auto"/>
        <w:rPr>
          <w:sz w:val="20"/>
          <w:szCs w:val="20"/>
          <w:color w:val="auto"/>
        </w:rPr>
      </w:pPr>
      <w:r>
        <w:rPr>
          <w:rFonts w:ascii="Arial" w:cs="Arial" w:eastAsia="Arial" w:hAnsi="Arial"/>
          <w:sz w:val="18"/>
          <w:szCs w:val="18"/>
          <w:color w:val="auto"/>
        </w:rPr>
        <w:t>Client referral income from brokers is derived from referring clients to China A-share licensed brokers by embedding on the Group’s website or online platform a link which can lead clients to the account opening interface of these brokers.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Foreign Currency Gains and Losses</w:t>
      </w:r>
    </w:p>
    <w:p>
      <w:pPr>
        <w:spacing w:after="0" w:line="115" w:lineRule="exact"/>
        <w:rPr>
          <w:sz w:val="20"/>
          <w:szCs w:val="20"/>
          <w:color w:val="auto"/>
        </w:rPr>
      </w:pPr>
    </w:p>
    <w:p>
      <w:pPr>
        <w:ind w:left="240" w:right="80" w:firstLine="438"/>
        <w:spacing w:after="0" w:line="300" w:lineRule="auto"/>
        <w:rPr>
          <w:sz w:val="20"/>
          <w:szCs w:val="20"/>
          <w:color w:val="auto"/>
        </w:rPr>
      </w:pPr>
      <w:r>
        <w:rPr>
          <w:rFonts w:ascii="Arial" w:cs="Arial" w:eastAsia="Arial" w:hAnsi="Arial"/>
          <w:sz w:val="16"/>
          <w:szCs w:val="16"/>
          <w:color w:val="auto"/>
        </w:rPr>
        <w:t>Foreign currency transactions denominated in currencies other than the functional currency are translated into the functional currency using the exchange rates prevailing at the dates of the transactions. Monetary assets and liabilities denominated in foreign currencies at the balance sheet date are remeasured at the applicable rates of exchange in effect at that date. Foreign currency gain or loss resulting from the settlement of such transactions and from remeasurement at period-end is recognized in “Others, net” in the consolidated statements of comprehensive loss.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Incentives</w:t>
      </w:r>
    </w:p>
    <w:p>
      <w:pPr>
        <w:spacing w:after="0" w:line="115" w:lineRule="exact"/>
        <w:rPr>
          <w:sz w:val="20"/>
          <w:szCs w:val="20"/>
          <w:color w:val="auto"/>
        </w:rPr>
      </w:pPr>
    </w:p>
    <w:p>
      <w:pPr>
        <w:jc w:val="both"/>
        <w:ind w:left="240" w:right="120" w:firstLine="438"/>
        <w:spacing w:after="0" w:line="262" w:lineRule="auto"/>
        <w:rPr>
          <w:sz w:val="20"/>
          <w:szCs w:val="20"/>
          <w:color w:val="auto"/>
        </w:rPr>
      </w:pPr>
      <w:r>
        <w:rPr>
          <w:rFonts w:ascii="Arial" w:cs="Arial" w:eastAsia="Arial" w:hAnsi="Arial"/>
          <w:sz w:val="18"/>
          <w:szCs w:val="18"/>
          <w:color w:val="auto"/>
        </w:rPr>
        <w:t>The Group offers a self-managed client loyalty program points, which can be used in mobile app and website to redeem a variety of concessions or service, such as commission-deduction coupon, Level 2 A shares securities market data card and slot machine lottery. Clients have a variety of ways to obtain the points. The major accounting policy for the points program is described as follows:</w:t>
      </w:r>
    </w:p>
    <w:p>
      <w:pPr>
        <w:spacing w:after="0" w:line="329" w:lineRule="exact"/>
        <w:rPr>
          <w:sz w:val="20"/>
          <w:szCs w:val="20"/>
          <w:color w:val="auto"/>
        </w:rPr>
      </w:pPr>
    </w:p>
    <w:p>
      <w:pPr>
        <w:ind w:left="660" w:hanging="424"/>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Sales contracts related scenarios</w:t>
      </w:r>
    </w:p>
    <w:p>
      <w:pPr>
        <w:spacing w:after="0" w:line="115" w:lineRule="exact"/>
        <w:rPr>
          <w:sz w:val="20"/>
          <w:szCs w:val="20"/>
          <w:color w:val="auto"/>
        </w:rPr>
      </w:pPr>
    </w:p>
    <w:p>
      <w:pPr>
        <w:ind w:left="240" w:right="240" w:firstLine="438"/>
        <w:spacing w:after="0" w:line="309" w:lineRule="auto"/>
        <w:rPr>
          <w:sz w:val="20"/>
          <w:szCs w:val="20"/>
          <w:color w:val="auto"/>
        </w:rPr>
      </w:pPr>
      <w:r>
        <w:rPr>
          <w:rFonts w:ascii="Arial" w:cs="Arial" w:eastAsia="Arial" w:hAnsi="Arial"/>
          <w:sz w:val="16"/>
          <w:szCs w:val="16"/>
          <w:color w:val="auto"/>
        </w:rPr>
        <w:t>The sales contracts related scenarios include client entering into the first Hong Kong brokerage transaction, first US brokerage transaction, IPO stock brokerage transactions, and currency exchange services. The Group concludes the points offered linked to the purchase transaction of these scenarios is a material right and accordingly a separate performance obligation according to ASC 606, and should be taken into consideration</w:t>
      </w:r>
    </w:p>
    <w:p>
      <w:pPr>
        <w:spacing w:after="0" w:line="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80"/>
          </w:cols>
          <w:pgMar w:left="240" w:top="457"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20" w:hanging="444"/>
        <w:spacing w:after="0" w:line="383" w:lineRule="auto"/>
        <w:tabs>
          <w:tab w:leader="none" w:pos="672"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Incentives (Continued)</w:t>
      </w:r>
    </w:p>
    <w:p>
      <w:pPr>
        <w:spacing w:after="0" w:line="1" w:lineRule="exact"/>
        <w:rPr>
          <w:sz w:val="20"/>
          <w:szCs w:val="20"/>
          <w:color w:val="auto"/>
        </w:rPr>
      </w:pPr>
    </w:p>
    <w:p>
      <w:pPr>
        <w:ind w:left="660" w:hanging="424"/>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Sales contracts related scenarios (Continued)</w:t>
      </w:r>
    </w:p>
    <w:p>
      <w:pPr>
        <w:spacing w:after="0" w:line="129" w:lineRule="exact"/>
        <w:rPr>
          <w:sz w:val="20"/>
          <w:szCs w:val="20"/>
          <w:color w:val="auto"/>
        </w:rPr>
      </w:pPr>
    </w:p>
    <w:p>
      <w:pPr>
        <w:ind w:left="240" w:right="60"/>
        <w:spacing w:after="0" w:line="290" w:lineRule="auto"/>
        <w:rPr>
          <w:sz w:val="20"/>
          <w:szCs w:val="20"/>
          <w:color w:val="auto"/>
        </w:rPr>
      </w:pPr>
      <w:r>
        <w:rPr>
          <w:rFonts w:ascii="Arial" w:cs="Arial" w:eastAsia="Arial" w:hAnsi="Arial"/>
          <w:sz w:val="16"/>
          <w:szCs w:val="16"/>
          <w:color w:val="auto"/>
        </w:rPr>
        <w:t>when allocating the transaction price of the sales. The Group determines the value of each point based on fair value of the concessions and services that can be redeemed with points. The Group also estimates the probability of the points redemption when performing the allocation. Since the historical information does not yet exist for the Group to determine any potential points forfeitures and the fact that most services can be redeemed without requiring a significant amount of points comparing with the amount of points provided to users, the Group believes it is reasonable to assume all points will be redeemed and no forfeiture is estimated currently. The Group will apply and update the estimated redeem rate and the estimated value of each point at each reporting period. The amount allocated to the points as separate performance obligation is recorded as contract liabilities (deferred revenue) and revenue should be recognized when future concessions or services are transferred.</w:t>
      </w:r>
    </w:p>
    <w:p>
      <w:pPr>
        <w:spacing w:after="0" w:line="162" w:lineRule="exact"/>
        <w:rPr>
          <w:sz w:val="20"/>
          <w:szCs w:val="20"/>
          <w:color w:val="auto"/>
        </w:rPr>
      </w:pPr>
    </w:p>
    <w:p>
      <w:pPr>
        <w:ind w:left="240" w:right="80" w:firstLine="438"/>
        <w:spacing w:after="0" w:line="277" w:lineRule="auto"/>
        <w:rPr>
          <w:sz w:val="20"/>
          <w:szCs w:val="20"/>
          <w:color w:val="auto"/>
        </w:rPr>
      </w:pPr>
      <w:r>
        <w:rPr>
          <w:rFonts w:ascii="Arial" w:cs="Arial" w:eastAsia="Arial" w:hAnsi="Arial"/>
          <w:sz w:val="17"/>
          <w:szCs w:val="17"/>
          <w:color w:val="auto"/>
        </w:rPr>
        <w:t>For the years ended December 31, 2016 and 2017, the revenue portion allocated to the points as separate performance obligation were HK$1,180 thousand and HK$2,042 thousand, which is recorded as contract liabilities (deferred revenue). For the period ended December 31, 2016 and 2017, the total points recorded as a reduction of revenue were HK$32 thousand and HK$330 thousand. As of December 31, 2016 and 2017, contract liabilities recorded related to unredeemed points were HK$1,147 thousand and HK$2,454 thousand respectively.</w:t>
      </w:r>
    </w:p>
    <w:p>
      <w:pPr>
        <w:spacing w:after="0" w:line="319" w:lineRule="exact"/>
        <w:rPr>
          <w:sz w:val="20"/>
          <w:szCs w:val="20"/>
          <w:color w:val="auto"/>
        </w:rPr>
      </w:pPr>
    </w:p>
    <w:p>
      <w:pPr>
        <w:ind w:left="660" w:hanging="424"/>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Other scenarios</w:t>
      </w:r>
    </w:p>
    <w:p>
      <w:pPr>
        <w:spacing w:after="0" w:line="115"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Clients or the users of the mobile application can also obtain points through other ways such as log-ins to the mobile application, opening a trade account and inviting friends, etc. The Group believes these points are to encourage user engagement and generate market awareness. As a result, the Group accounts for such points as selling and marketing expenses with a corresponding liability recorded under accrued expenses and other liabilities of its consolidated balance sheets upon the points offering. The Group estimates liabilities under the client loyalty program based on cost of the concessions or services that can be redeemed, and its estimate of full redemption. At the time of redemption, the Group records a reduction of accrued expenses and other liabilities.</w:t>
      </w:r>
    </w:p>
    <w:p>
      <w:pPr>
        <w:spacing w:after="0" w:line="190" w:lineRule="exact"/>
        <w:rPr>
          <w:sz w:val="20"/>
          <w:szCs w:val="20"/>
          <w:color w:val="auto"/>
        </w:rPr>
      </w:pPr>
    </w:p>
    <w:p>
      <w:pPr>
        <w:ind w:left="240" w:right="220" w:firstLine="438"/>
        <w:spacing w:after="0" w:line="262" w:lineRule="auto"/>
        <w:rPr>
          <w:sz w:val="20"/>
          <w:szCs w:val="20"/>
          <w:color w:val="auto"/>
        </w:rPr>
      </w:pPr>
      <w:r>
        <w:rPr>
          <w:rFonts w:ascii="Arial" w:cs="Arial" w:eastAsia="Arial" w:hAnsi="Arial"/>
          <w:sz w:val="18"/>
          <w:szCs w:val="18"/>
          <w:color w:val="auto"/>
        </w:rPr>
        <w:t>For the years ended December 31, 2016 and 2017 the total points recorded as selling and marketing expenses were HK$3,051 thousand and HK$198 thousand. As of December 31, 2016 and 2017, liabilities recorded related to unredeemed points in other scenarios were HK$2,968 thousand and HK$488 thousand respectively.</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ind w:left="240" w:right="80" w:firstLine="438"/>
        <w:spacing w:after="0" w:line="275" w:lineRule="auto"/>
        <w:rPr>
          <w:sz w:val="20"/>
          <w:szCs w:val="20"/>
          <w:color w:val="auto"/>
        </w:rPr>
      </w:pPr>
      <w:r>
        <w:rPr>
          <w:rFonts w:ascii="Arial" w:cs="Arial" w:eastAsia="Arial" w:hAnsi="Arial"/>
          <w:sz w:val="18"/>
          <w:szCs w:val="18"/>
          <w:color w:val="auto"/>
        </w:rPr>
        <w:t>Cash and cash equivalents represent cash on hand, demand deposits and time deposits placed with banks or other financial institutions, which are unrestricted to withdrawal or use, and which have original maturities of three months or less.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Cash Held on Behalf of Clients</w:t>
      </w:r>
    </w:p>
    <w:p>
      <w:pPr>
        <w:spacing w:after="0" w:line="115" w:lineRule="exact"/>
        <w:rPr>
          <w:sz w:val="20"/>
          <w:szCs w:val="20"/>
          <w:color w:val="auto"/>
        </w:rPr>
      </w:pPr>
    </w:p>
    <w:p>
      <w:pPr>
        <w:ind w:left="240" w:right="380" w:firstLine="438"/>
        <w:spacing w:after="0" w:line="275" w:lineRule="auto"/>
        <w:rPr>
          <w:sz w:val="20"/>
          <w:szCs w:val="20"/>
          <w:color w:val="auto"/>
        </w:rPr>
      </w:pPr>
      <w:r>
        <w:rPr>
          <w:rFonts w:ascii="Arial" w:cs="Arial" w:eastAsia="Arial" w:hAnsi="Arial"/>
          <w:sz w:val="18"/>
          <w:szCs w:val="18"/>
          <w:color w:val="auto"/>
        </w:rPr>
        <w:t>The Group has classified the clients’ deposits as cash held on behalf of clients under the assets section in the consolidated balance sheets and recognized the corresponding accounts payables to the respective clients under the liabilities section.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240" w:top="457" w:right="5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20" w:hanging="444"/>
        <w:spacing w:after="0" w:line="383" w:lineRule="auto"/>
        <w:tabs>
          <w:tab w:leader="none" w:pos="672"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Property and Equipment, net</w:t>
      </w:r>
    </w:p>
    <w:p>
      <w:pPr>
        <w:spacing w:after="0" w:line="1" w:lineRule="exact"/>
        <w:rPr>
          <w:sz w:val="20"/>
          <w:szCs w:val="20"/>
          <w:color w:val="auto"/>
        </w:rPr>
      </w:pPr>
    </w:p>
    <w:p>
      <w:pPr>
        <w:ind w:left="240" w:right="80" w:firstLine="438"/>
        <w:spacing w:after="0" w:line="309" w:lineRule="auto"/>
        <w:rPr>
          <w:sz w:val="20"/>
          <w:szCs w:val="20"/>
          <w:color w:val="auto"/>
        </w:rPr>
      </w:pPr>
      <w:r>
        <w:rPr>
          <w:rFonts w:ascii="Arial" w:cs="Arial" w:eastAsia="Arial" w:hAnsi="Arial"/>
          <w:sz w:val="16"/>
          <w:szCs w:val="16"/>
          <w:color w:val="auto"/>
        </w:rPr>
        <w:t>Property and equipment, which are included in other assets in the consolidated balance sheets are stated at historical cost less accumulated depreciation and impairment, if any. Depreciation is computed using the straight-line method over the estimated useful lives of the assets. Residual rate is determined based on the economic value of the property and equipment at the end of the estimated useful lives as a percentage of the original cost.</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66"/>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Category</w:t>
            </w:r>
          </w:p>
        </w:tc>
        <w:tc>
          <w:tcPr>
            <w:tcW w:w="4560" w:type="dxa"/>
            <w:vAlign w:val="bottom"/>
          </w:tcPr>
          <w:p>
            <w:pPr>
              <w:spacing w:after="0"/>
              <w:rPr>
                <w:sz w:val="14"/>
                <w:szCs w:val="14"/>
                <w:color w:val="auto"/>
              </w:rPr>
            </w:pPr>
          </w:p>
        </w:tc>
        <w:tc>
          <w:tcPr>
            <w:tcW w:w="2280" w:type="dxa"/>
            <w:vAlign w:val="bottom"/>
            <w:gridSpan w:val="2"/>
          </w:tcPr>
          <w:p>
            <w:pPr>
              <w:jc w:val="right"/>
              <w:ind w:right="1000"/>
              <w:spacing w:after="0"/>
              <w:rPr>
                <w:sz w:val="20"/>
                <w:szCs w:val="20"/>
                <w:color w:val="auto"/>
              </w:rPr>
            </w:pPr>
            <w:r>
              <w:rPr>
                <w:rFonts w:ascii="Arial" w:cs="Arial" w:eastAsia="Arial" w:hAnsi="Arial"/>
                <w:sz w:val="14"/>
                <w:szCs w:val="14"/>
                <w:color w:val="auto"/>
                <w:w w:val="93"/>
              </w:rPr>
              <w:t>Estimated useful lives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Residual rate</w:t>
            </w: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Computers equipment</w:t>
            </w:r>
          </w:p>
        </w:tc>
        <w:tc>
          <w:tcPr>
            <w:tcW w:w="128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80" w:type="dxa"/>
            <w:vAlign w:val="bottom"/>
            <w:gridSpan w:val="2"/>
            <w:vMerge w:val="continue"/>
            <w:shd w:val="clear" w:color="auto" w:fill="CCEEFF"/>
          </w:tcPr>
          <w:p>
            <w:pPr>
              <w:spacing w:after="0"/>
              <w:rPr>
                <w:sz w:val="17"/>
                <w:szCs w:val="17"/>
                <w:color w:val="auto"/>
              </w:rPr>
            </w:pPr>
          </w:p>
        </w:tc>
        <w:tc>
          <w:tcPr>
            <w:tcW w:w="1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3 - 5 years</w:t>
            </w:r>
          </w:p>
        </w:tc>
        <w:tc>
          <w:tcPr>
            <w:tcW w:w="100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280" w:type="dxa"/>
            <w:vAlign w:val="bottom"/>
            <w:gridSpan w:val="2"/>
          </w:tcPr>
          <w:p>
            <w:pPr>
              <w:jc w:val="right"/>
              <w:ind w:right="1000"/>
              <w:spacing w:after="0"/>
              <w:rPr>
                <w:sz w:val="20"/>
                <w:szCs w:val="20"/>
                <w:color w:val="auto"/>
              </w:rPr>
            </w:pPr>
            <w:r>
              <w:rPr>
                <w:rFonts w:ascii="Arial" w:cs="Arial" w:eastAsia="Arial" w:hAnsi="Arial"/>
                <w:sz w:val="18"/>
                <w:szCs w:val="18"/>
                <w:color w:val="auto"/>
              </w:rPr>
              <w:t>3 - 5 years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2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3 - 5 years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080" w:type="dxa"/>
            <w:vAlign w:val="bottom"/>
            <w:gridSpan w:val="2"/>
          </w:tcPr>
          <w:p>
            <w:pPr>
              <w:spacing w:after="0"/>
              <w:rPr>
                <w:sz w:val="20"/>
                <w:szCs w:val="20"/>
                <w:color w:val="auto"/>
              </w:rPr>
            </w:pPr>
            <w:r>
              <w:rPr>
                <w:rFonts w:ascii="Arial" w:cs="Arial" w:eastAsia="Arial" w:hAnsi="Arial"/>
                <w:sz w:val="18"/>
                <w:szCs w:val="18"/>
                <w:color w:val="auto"/>
              </w:rPr>
              <w:t>Vehicle</w:t>
            </w:r>
          </w:p>
        </w:tc>
        <w:tc>
          <w:tcPr>
            <w:tcW w:w="2280" w:type="dxa"/>
            <w:vAlign w:val="bottom"/>
            <w:gridSpan w:val="2"/>
          </w:tcPr>
          <w:p>
            <w:pPr>
              <w:jc w:val="right"/>
              <w:ind w:right="1000"/>
              <w:spacing w:after="0"/>
              <w:rPr>
                <w:sz w:val="20"/>
                <w:szCs w:val="20"/>
                <w:color w:val="auto"/>
              </w:rPr>
            </w:pPr>
            <w:r>
              <w:rPr>
                <w:rFonts w:ascii="Arial" w:cs="Arial" w:eastAsia="Arial" w:hAnsi="Arial"/>
                <w:sz w:val="18"/>
                <w:szCs w:val="18"/>
                <w:color w:val="auto"/>
              </w:rPr>
              <w:t>5 years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Expenditures for maintenance and repairs are expensed as incurred.</w:t>
      </w:r>
    </w:p>
    <w:p>
      <w:pPr>
        <w:spacing w:after="0" w:line="33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5" w:lineRule="exact"/>
        <w:rPr>
          <w:sz w:val="20"/>
          <w:szCs w:val="20"/>
          <w:color w:val="auto"/>
        </w:rPr>
      </w:pPr>
    </w:p>
    <w:p>
      <w:pPr>
        <w:jc w:val="both"/>
        <w:ind w:left="240" w:right="60" w:firstLine="438"/>
        <w:spacing w:after="0" w:line="257" w:lineRule="auto"/>
        <w:rPr>
          <w:sz w:val="20"/>
          <w:szCs w:val="20"/>
          <w:color w:val="auto"/>
        </w:rPr>
      </w:pPr>
      <w:r>
        <w:rPr>
          <w:rFonts w:ascii="Arial" w:cs="Arial" w:eastAsia="Arial" w:hAnsi="Arial"/>
          <w:sz w:val="18"/>
          <w:szCs w:val="18"/>
          <w:color w:val="auto"/>
        </w:rPr>
        <w:t>Intangible assets which are included in other assets in the consolidated balance sheets mainly consist of computer software and golf membership. Identifiable intangible assets are carried at acquisition cost less accumulated amortization and impairment loss, if any. Finite-lived intangible assets are tested for impairment if impairment indicators arise. Amortization of finite-lived intangible assets is computed using the straight-line method over their estimated useful lives, which are as follows:</w:t>
      </w:r>
    </w:p>
    <w:p>
      <w:pPr>
        <w:spacing w:after="0" w:line="210"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Category</w:t>
            </w:r>
          </w:p>
        </w:tc>
        <w:tc>
          <w:tcPr>
            <w:tcW w:w="556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Estimated useful lives</w:t>
            </w:r>
          </w:p>
        </w:tc>
      </w:tr>
      <w:tr>
        <w:trPr>
          <w:trHeight w:val="202"/>
        </w:trPr>
        <w:tc>
          <w:tcPr>
            <w:tcW w:w="610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Computer software</w:t>
            </w:r>
          </w:p>
        </w:tc>
        <w:tc>
          <w:tcPr>
            <w:tcW w:w="12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 years</w:t>
            </w:r>
          </w:p>
        </w:tc>
        <w:tc>
          <w:tcPr>
            <w:tcW w:w="60" w:type="dxa"/>
            <w:vAlign w:val="bottom"/>
            <w:tcBorders>
              <w:top w:val="single" w:sz="8" w:color="CCEEFF"/>
            </w:tcBorders>
            <w:shd w:val="clear" w:color="auto" w:fill="CCEEFF"/>
          </w:tcPr>
          <w:p>
            <w:pPr>
              <w:spacing w:after="0"/>
              <w:rPr>
                <w:sz w:val="17"/>
                <w:szCs w:val="17"/>
                <w:color w:val="auto"/>
              </w:rPr>
            </w:pPr>
          </w:p>
        </w:tc>
      </w:tr>
      <w:tr>
        <w:trPr>
          <w:trHeight w:val="229"/>
        </w:trPr>
        <w:tc>
          <w:tcPr>
            <w:tcW w:w="6100" w:type="dxa"/>
            <w:vAlign w:val="bottom"/>
            <w:gridSpan w:val="2"/>
          </w:tcPr>
          <w:p>
            <w:pPr>
              <w:spacing w:after="0"/>
              <w:rPr>
                <w:sz w:val="20"/>
                <w:szCs w:val="20"/>
                <w:color w:val="auto"/>
              </w:rPr>
            </w:pPr>
            <w:r>
              <w:rPr>
                <w:rFonts w:ascii="Arial" w:cs="Arial" w:eastAsia="Arial" w:hAnsi="Arial"/>
                <w:sz w:val="18"/>
                <w:szCs w:val="18"/>
                <w:color w:val="auto"/>
              </w:rPr>
              <w:t>Golf membership</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 years</w:t>
            </w:r>
          </w:p>
        </w:tc>
      </w:tr>
    </w:tbl>
    <w:p>
      <w:pPr>
        <w:spacing w:after="0" w:line="186" w:lineRule="exact"/>
        <w:rPr>
          <w:sz w:val="20"/>
          <w:szCs w:val="20"/>
          <w:color w:val="auto"/>
        </w:rPr>
      </w:pPr>
    </w:p>
    <w:p>
      <w:pPr>
        <w:ind w:left="240" w:right="80" w:firstLine="438"/>
        <w:spacing w:after="0" w:line="339" w:lineRule="auto"/>
        <w:rPr>
          <w:sz w:val="20"/>
          <w:szCs w:val="20"/>
          <w:color w:val="auto"/>
        </w:rPr>
      </w:pPr>
      <w:r>
        <w:rPr>
          <w:rFonts w:ascii="Arial" w:cs="Arial" w:eastAsia="Arial" w:hAnsi="Arial"/>
          <w:sz w:val="16"/>
          <w:szCs w:val="16"/>
          <w:color w:val="auto"/>
        </w:rPr>
        <w:t>The Operating Company also holds a trading right as a clearing member firm of Hong Kong Exchanges and Clearing Limited (“HKEx”) in order to trade securities through the trading facilities of the Stock Exchange. The trading right had been recognized as intangible asset and full amortized.</w:t>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Refundable Deposit</w:t>
      </w:r>
    </w:p>
    <w:p>
      <w:pPr>
        <w:spacing w:after="0" w:line="115" w:lineRule="exact"/>
        <w:rPr>
          <w:sz w:val="20"/>
          <w:szCs w:val="20"/>
          <w:color w:val="auto"/>
        </w:rPr>
      </w:pPr>
    </w:p>
    <w:p>
      <w:pPr>
        <w:ind w:left="240" w:firstLine="438"/>
        <w:spacing w:after="0" w:line="274" w:lineRule="auto"/>
        <w:rPr>
          <w:sz w:val="20"/>
          <w:szCs w:val="20"/>
          <w:color w:val="auto"/>
        </w:rPr>
      </w:pPr>
      <w:r>
        <w:rPr>
          <w:rFonts w:ascii="Arial" w:cs="Arial" w:eastAsia="Arial" w:hAnsi="Arial"/>
          <w:sz w:val="17"/>
          <w:szCs w:val="17"/>
          <w:color w:val="auto"/>
        </w:rPr>
        <w:t>Refundable deposit is included in other assets in the consolidated balance sheets. As a clearing member firm of HKEx, the Group is also exposed to clearing member credit risk. HKEx requires member firms to deposit cash to a clearing fund. If a clearing member defaults in its obligations to the clearing organization in an amount larger than its own margin and clearing fund deposits, the shortfall is absorbed pro rata from the deposits of the other clearing members. HKEx has the authority to assess their members for additional funds if the clearing fund is depleted. A large clearing member default could result in a substantial cost if the Group is required to pay such assessments.</w:t>
      </w:r>
    </w:p>
    <w:p>
      <w:pPr>
        <w:spacing w:after="0" w:line="28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5" w:lineRule="exact"/>
        <w:rPr>
          <w:sz w:val="20"/>
          <w:szCs w:val="20"/>
          <w:color w:val="auto"/>
        </w:rPr>
      </w:pPr>
    </w:p>
    <w:p>
      <w:pPr>
        <w:ind w:left="240" w:right="240" w:firstLine="438"/>
        <w:spacing w:after="0" w:line="262" w:lineRule="auto"/>
        <w:rPr>
          <w:sz w:val="20"/>
          <w:szCs w:val="20"/>
          <w:color w:val="auto"/>
        </w:rPr>
      </w:pPr>
      <w:r>
        <w:rPr>
          <w:rFonts w:ascii="Arial" w:cs="Arial" w:eastAsia="Arial" w:hAnsi="Arial"/>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240" w:top="458" w:right="5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60" w:hanging="444"/>
        <w:spacing w:after="0" w:line="383" w:lineRule="auto"/>
        <w:tabs>
          <w:tab w:leader="none" w:pos="67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Fair Value Measurements (Continued)</w:t>
      </w:r>
    </w:p>
    <w:p>
      <w:pPr>
        <w:spacing w:after="0" w:line="1" w:lineRule="exact"/>
        <w:rPr>
          <w:sz w:val="20"/>
          <w:szCs w:val="20"/>
          <w:color w:val="auto"/>
        </w:rPr>
      </w:pPr>
    </w:p>
    <w:p>
      <w:pPr>
        <w:ind w:left="240" w:right="200"/>
        <w:spacing w:after="0" w:line="275" w:lineRule="auto"/>
        <w:rPr>
          <w:sz w:val="20"/>
          <w:szCs w:val="20"/>
          <w:color w:val="auto"/>
        </w:rPr>
      </w:pPr>
      <w:r>
        <w:rPr>
          <w:rFonts w:ascii="Arial" w:cs="Arial" w:eastAsia="Arial" w:hAnsi="Arial"/>
          <w:sz w:val="18"/>
          <w:szCs w:val="18"/>
          <w:color w:val="auto"/>
        </w:rPr>
        <w:t>value, the Group considers the principal or most advantageous market in which it would transact and it considers assumptions that market participants would use when pricing the asset or liability.</w:t>
      </w:r>
    </w:p>
    <w:p>
      <w:pPr>
        <w:spacing w:after="0" w:line="170" w:lineRule="exact"/>
        <w:rPr>
          <w:sz w:val="20"/>
          <w:szCs w:val="20"/>
          <w:color w:val="auto"/>
        </w:rPr>
      </w:pPr>
    </w:p>
    <w:p>
      <w:pPr>
        <w:ind w:left="240" w:right="100" w:firstLine="438"/>
        <w:spacing w:after="0" w:line="309" w:lineRule="auto"/>
        <w:rPr>
          <w:sz w:val="20"/>
          <w:szCs w:val="20"/>
          <w:color w:val="auto"/>
        </w:rPr>
      </w:pPr>
      <w:r>
        <w:rPr>
          <w:rFonts w:ascii="Arial" w:cs="Arial" w:eastAsia="Arial" w:hAnsi="Arial"/>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49" w:lineRule="exact"/>
        <w:rPr>
          <w:sz w:val="20"/>
          <w:szCs w:val="20"/>
          <w:color w:val="auto"/>
        </w:rPr>
      </w:pPr>
    </w:p>
    <w:p>
      <w:pPr>
        <w:ind w:left="240" w:right="360" w:firstLine="438"/>
        <w:spacing w:after="0" w:line="275" w:lineRule="auto"/>
        <w:rPr>
          <w:sz w:val="20"/>
          <w:szCs w:val="20"/>
          <w:color w:val="auto"/>
        </w:rPr>
      </w:pPr>
      <w:r>
        <w:rPr>
          <w:rFonts w:ascii="Arial" w:cs="Arial" w:eastAsia="Arial" w:hAnsi="Arial"/>
          <w:sz w:val="18"/>
          <w:szCs w:val="18"/>
          <w:color w:val="auto"/>
        </w:rPr>
        <w:t>Level 1—Valuation techniques in which all significant inputs are unadjusted quoted prices from active markets for assets or liabilities that are identical to the assets or liabilities being measured.</w:t>
      </w:r>
    </w:p>
    <w:p>
      <w:pPr>
        <w:spacing w:after="0" w:line="170" w:lineRule="exact"/>
        <w:rPr>
          <w:sz w:val="20"/>
          <w:szCs w:val="20"/>
          <w:color w:val="auto"/>
        </w:rPr>
      </w:pPr>
    </w:p>
    <w:p>
      <w:pPr>
        <w:ind w:left="240" w:right="100" w:firstLine="438"/>
        <w:spacing w:after="0" w:line="257" w:lineRule="auto"/>
        <w:rPr>
          <w:sz w:val="20"/>
          <w:szCs w:val="20"/>
          <w:color w:val="auto"/>
        </w:rPr>
      </w:pPr>
      <w:r>
        <w:rPr>
          <w:rFonts w:ascii="Arial" w:cs="Arial" w:eastAsia="Arial" w:hAnsi="Arial"/>
          <w:sz w:val="18"/>
          <w:szCs w:val="18"/>
          <w:color w:val="auto"/>
        </w:rPr>
        <w:t>Level 2—Valuation techniques in which significant inputs include quoted prices from active markets for assets or liabilities that are similar to the assets or liabilities being measured and/or quoted prices for assets or liabilities that are identical or similar to the assets or liabilities being measured from markets that are not active. Also, model-derived valuations in which all significant inputs and significant value drivers are observable in active markets are Level 2 valuation techniques.</w:t>
      </w:r>
    </w:p>
    <w:p>
      <w:pPr>
        <w:spacing w:after="0" w:line="188" w:lineRule="exact"/>
        <w:rPr>
          <w:sz w:val="20"/>
          <w:szCs w:val="20"/>
          <w:color w:val="auto"/>
        </w:rPr>
      </w:pPr>
    </w:p>
    <w:p>
      <w:pPr>
        <w:jc w:val="both"/>
        <w:ind w:left="240" w:right="380" w:firstLine="438"/>
        <w:spacing w:after="0" w:line="262" w:lineRule="auto"/>
        <w:rPr>
          <w:sz w:val="20"/>
          <w:szCs w:val="20"/>
          <w:color w:val="auto"/>
        </w:rPr>
      </w:pPr>
      <w:r>
        <w:rPr>
          <w:rFonts w:ascii="Arial" w:cs="Arial" w:eastAsia="Arial" w:hAnsi="Arial"/>
          <w:sz w:val="18"/>
          <w:szCs w:val="18"/>
          <w:color w:val="auto"/>
        </w:rPr>
        <w:t>Level 3—Valuation techniques in which one or more significant inputs or significant value drivers are unobservable. Unobservable inputs are valuation technique inputs that reflect the Group’s own assumptions about the assumptions that market participants would use in pricing an asset or liability.</w:t>
      </w:r>
    </w:p>
    <w:p>
      <w:pPr>
        <w:spacing w:after="0" w:line="181"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81" w:lineRule="exact"/>
        <w:rPr>
          <w:sz w:val="20"/>
          <w:szCs w:val="20"/>
          <w:color w:val="auto"/>
        </w:rPr>
      </w:pPr>
    </w:p>
    <w:p>
      <w:pPr>
        <w:ind w:left="240" w:right="160" w:firstLine="438"/>
        <w:spacing w:after="0" w:line="272" w:lineRule="auto"/>
        <w:rPr>
          <w:sz w:val="20"/>
          <w:szCs w:val="20"/>
          <w:color w:val="auto"/>
        </w:rPr>
      </w:pPr>
      <w:r>
        <w:rPr>
          <w:rFonts w:ascii="Arial" w:cs="Arial" w:eastAsia="Arial" w:hAnsi="Arial"/>
          <w:sz w:val="17"/>
          <w:szCs w:val="17"/>
          <w:color w:val="auto"/>
        </w:rPr>
        <w:t>The carrying amount of cash and cash equivalents, cash held on behalf of clients, receivables from and payables to clients, brokers and clearing organization, amounts due from and due to related parties, other financial assets and liabilities approximates fair value because of their short-term nature. Loans and advances and accrued interest receivable are measured at amortized cost. Short-term borrowings and accrued interest payable are carried at amortized cost. The carrying amount of loans and advances, short-term borrowings, accrued interest receivable, and accrued interest payable approximates their respective fair value as the interest rates applied reflect the current quoted market yield for comparable financial instruments. Available-for-sale financial securities are measured at fair value.</w:t>
      </w:r>
    </w:p>
    <w:p>
      <w:pPr>
        <w:spacing w:after="0" w:line="175" w:lineRule="exact"/>
        <w:rPr>
          <w:sz w:val="20"/>
          <w:szCs w:val="20"/>
          <w:color w:val="auto"/>
        </w:rPr>
      </w:pPr>
    </w:p>
    <w:p>
      <w:pPr>
        <w:ind w:left="240" w:right="720" w:firstLine="438"/>
        <w:spacing w:after="0" w:line="275" w:lineRule="auto"/>
        <w:rPr>
          <w:sz w:val="20"/>
          <w:szCs w:val="20"/>
          <w:color w:val="auto"/>
        </w:rPr>
      </w:pPr>
      <w:r>
        <w:rPr>
          <w:rFonts w:ascii="Arial" w:cs="Arial" w:eastAsia="Arial" w:hAnsi="Arial"/>
          <w:sz w:val="18"/>
          <w:szCs w:val="18"/>
          <w:color w:val="auto"/>
        </w:rPr>
        <w:t>The Group’s non-financial assets, such as property, equipment and computer software, would be measured at fair value only if they were determined to be impaired.</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Brokerage Commission and Handling Charge Expenses</w:t>
      </w:r>
    </w:p>
    <w:p>
      <w:pPr>
        <w:spacing w:after="0" w:line="115" w:lineRule="exact"/>
        <w:rPr>
          <w:sz w:val="20"/>
          <w:szCs w:val="20"/>
          <w:color w:val="auto"/>
        </w:rPr>
      </w:pPr>
    </w:p>
    <w:p>
      <w:pPr>
        <w:ind w:left="240" w:right="200" w:firstLine="438"/>
        <w:spacing w:after="0" w:line="284" w:lineRule="auto"/>
        <w:rPr>
          <w:sz w:val="20"/>
          <w:szCs w:val="20"/>
          <w:color w:val="auto"/>
        </w:rPr>
      </w:pPr>
      <w:r>
        <w:rPr>
          <w:rFonts w:ascii="Arial" w:cs="Arial" w:eastAsia="Arial" w:hAnsi="Arial"/>
          <w:sz w:val="17"/>
          <w:szCs w:val="17"/>
          <w:color w:val="auto"/>
        </w:rPr>
        <w:t>Commission expenses for executing and/or clearing transactions are accrued on a trade date basis The commission expenses are charged by executing brokers in the United States for securities trading in the United States stock markets as the Operating Company makes securities transaction with these brokers as principal instead of as agent in the Hong Kong securities brokerage business.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240" w:top="457"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5420" w:hanging="444"/>
        <w:spacing w:after="0" w:line="406" w:lineRule="auto"/>
        <w:tabs>
          <w:tab w:leader="none" w:pos="672"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(Continued) </w:t>
      </w:r>
      <w:r>
        <w:rPr>
          <w:rFonts w:ascii="Arial" w:cs="Arial" w:eastAsia="Arial" w:hAnsi="Arial"/>
          <w:sz w:val="17"/>
          <w:szCs w:val="17"/>
          <w:b w:val="1"/>
          <w:bCs w:val="1"/>
          <w:i w:val="1"/>
          <w:iCs w:val="1"/>
          <w:color w:val="auto"/>
        </w:rPr>
        <w:t>Brokerage Commission and Handling Charge Expenses (Continued)</w:t>
      </w:r>
    </w:p>
    <w:p>
      <w:pPr>
        <w:spacing w:after="0" w:line="1" w:lineRule="exact"/>
        <w:rPr>
          <w:sz w:val="20"/>
          <w:szCs w:val="20"/>
          <w:color w:val="auto"/>
        </w:rPr>
      </w:pPr>
    </w:p>
    <w:p>
      <w:pPr>
        <w:ind w:left="240" w:right="200" w:firstLine="438"/>
        <w:spacing w:after="0" w:line="275" w:lineRule="auto"/>
        <w:rPr>
          <w:sz w:val="20"/>
          <w:szCs w:val="20"/>
          <w:color w:val="auto"/>
        </w:rPr>
      </w:pPr>
      <w:r>
        <w:rPr>
          <w:rFonts w:ascii="Arial" w:cs="Arial" w:eastAsia="Arial" w:hAnsi="Arial"/>
          <w:sz w:val="18"/>
          <w:szCs w:val="18"/>
          <w:color w:val="auto"/>
        </w:rPr>
        <w:t>Handling and settlement fee is charged by HKEx or executing brokers in the United States for clearing and settlement services, are accrued on a trade date basis.</w:t>
      </w:r>
    </w:p>
    <w:p>
      <w:pPr>
        <w:spacing w:after="0" w:line="170" w:lineRule="exact"/>
        <w:rPr>
          <w:sz w:val="20"/>
          <w:szCs w:val="20"/>
          <w:color w:val="auto"/>
        </w:rPr>
      </w:pPr>
    </w:p>
    <w:p>
      <w:pPr>
        <w:ind w:left="240" w:right="40" w:firstLine="438"/>
        <w:spacing w:after="0" w:line="275" w:lineRule="auto"/>
        <w:rPr>
          <w:sz w:val="20"/>
          <w:szCs w:val="20"/>
          <w:color w:val="auto"/>
        </w:rPr>
      </w:pPr>
      <w:r>
        <w:rPr>
          <w:rFonts w:ascii="Arial" w:cs="Arial" w:eastAsia="Arial" w:hAnsi="Arial"/>
          <w:sz w:val="18"/>
          <w:szCs w:val="18"/>
          <w:color w:val="auto"/>
        </w:rPr>
        <w:t>IPO subscription service charge expenses are charged by commercial banks in connection with new share subscription services in relation to IPOs in the Hong Kong capital market.</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Interest Expenses</w:t>
      </w:r>
    </w:p>
    <w:p>
      <w:pPr>
        <w:spacing w:after="0" w:line="115" w:lineRule="exact"/>
        <w:rPr>
          <w:sz w:val="20"/>
          <w:szCs w:val="20"/>
          <w:color w:val="auto"/>
        </w:rPr>
      </w:pPr>
    </w:p>
    <w:p>
      <w:pPr>
        <w:ind w:left="240" w:right="180" w:firstLine="438"/>
        <w:spacing w:after="0" w:line="275" w:lineRule="auto"/>
        <w:rPr>
          <w:sz w:val="20"/>
          <w:szCs w:val="20"/>
          <w:color w:val="auto"/>
        </w:rPr>
      </w:pPr>
      <w:r>
        <w:rPr>
          <w:rFonts w:ascii="Arial" w:cs="Arial" w:eastAsia="Arial" w:hAnsi="Arial"/>
          <w:sz w:val="18"/>
          <w:szCs w:val="18"/>
          <w:color w:val="auto"/>
        </w:rPr>
        <w:t>Interest Expenses primarily consists of interest expenses of borrowings from banks, other licensed financial institutions and other parties paid to fund the Operating Company’s margin financing business and IPO financing business.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Processing and Servicing Costs</w:t>
      </w:r>
    </w:p>
    <w:p>
      <w:pPr>
        <w:spacing w:after="0" w:line="115"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Processing and servicing costs consists of market data and information fee, data transmission fee, cloud service fee, and SMS service fee, etc. The nature of market information and data fee mainly represents for information and data fee paid to stock exchanges like HKEx, NASDAQ, and New York stock exchange, etc. Data transmission fee is the fee of data transmission among cloud server and data centers located in Shenzhen, PRC and Hong Kong, etc. Cloud service fee and SMS service fee mainly represent the data storage and computing service and the SMS channel service fee, see Note 26 for further explanation.</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5" w:lineRule="exact"/>
        <w:rPr>
          <w:sz w:val="20"/>
          <w:szCs w:val="20"/>
          <w:color w:val="auto"/>
        </w:rPr>
      </w:pPr>
    </w:p>
    <w:p>
      <w:pPr>
        <w:ind w:left="240" w:right="240" w:firstLine="438"/>
        <w:spacing w:after="0" w:line="262" w:lineRule="auto"/>
        <w:rPr>
          <w:sz w:val="20"/>
          <w:szCs w:val="20"/>
          <w:color w:val="auto"/>
        </w:rPr>
      </w:pPr>
      <w:r>
        <w:rPr>
          <w:rFonts w:ascii="Arial" w:cs="Arial" w:eastAsia="Arial" w:hAnsi="Arial"/>
          <w:sz w:val="18"/>
          <w:szCs w:val="18"/>
          <w:color w:val="auto"/>
        </w:rPr>
        <w:t xml:space="preserve">Research and development expenses consist of expenses related to developing transaction platform and website like </w:t>
      </w:r>
      <w:r>
        <w:rPr>
          <w:rFonts w:ascii="Arial" w:cs="Arial" w:eastAsia="Arial" w:hAnsi="Arial"/>
          <w:sz w:val="18"/>
          <w:szCs w:val="18"/>
          <w:i w:val="1"/>
          <w:iCs w:val="1"/>
          <w:color w:val="auto"/>
        </w:rPr>
        <w:t>Futu NiuNiu</w:t>
      </w:r>
      <w:r>
        <w:rPr>
          <w:rFonts w:ascii="Arial" w:cs="Arial" w:eastAsia="Arial" w:hAnsi="Arial"/>
          <w:sz w:val="18"/>
          <w:szCs w:val="18"/>
          <w:color w:val="auto"/>
        </w:rPr>
        <w:t xml:space="preserve"> app and other products, including payroll and welfare, rental expenses and other related expenses for IT function. All research and development costs have been expensed as incurred as the costs qualifying for capitalization have been insignificant.</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5" w:lineRule="exact"/>
        <w:rPr>
          <w:sz w:val="20"/>
          <w:szCs w:val="20"/>
          <w:color w:val="auto"/>
        </w:rPr>
      </w:pPr>
    </w:p>
    <w:p>
      <w:pPr>
        <w:ind w:left="240" w:right="20" w:firstLine="438"/>
        <w:spacing w:after="0" w:line="257" w:lineRule="auto"/>
        <w:rPr>
          <w:sz w:val="20"/>
          <w:szCs w:val="20"/>
          <w:color w:val="auto"/>
        </w:rPr>
      </w:pPr>
      <w:r>
        <w:rPr>
          <w:rFonts w:ascii="Arial" w:cs="Arial" w:eastAsia="Arial" w:hAnsi="Arial"/>
          <w:sz w:val="18"/>
          <w:szCs w:val="18"/>
          <w:color w:val="auto"/>
        </w:rPr>
        <w:t>Selling and marketing expenses consist primarily of advertising and promotion costs, payroll, rental and related expenses for personnel engaged in marketing and business development activities. Advertising and promotion costs are expensed as incurred and are included within selling and marketing expenses in the consolidated statements of comprehensive loss. For the years ended December 31, 2016 and 2017, advertising and promotion costs totaled HK$47,380 thousand and HK$30,362 thousand, respectively.</w:t>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5" w:lineRule="exact"/>
        <w:rPr>
          <w:sz w:val="20"/>
          <w:szCs w:val="20"/>
          <w:color w:val="auto"/>
        </w:rPr>
      </w:pPr>
    </w:p>
    <w:p>
      <w:pPr>
        <w:ind w:left="240" w:right="420" w:firstLine="438"/>
        <w:spacing w:after="0" w:line="262" w:lineRule="auto"/>
        <w:rPr>
          <w:sz w:val="20"/>
          <w:szCs w:val="20"/>
          <w:color w:val="auto"/>
        </w:rPr>
      </w:pPr>
      <w:r>
        <w:rPr>
          <w:rFonts w:ascii="Arial" w:cs="Arial" w:eastAsia="Arial" w:hAnsi="Arial"/>
          <w:sz w:val="18"/>
          <w:szCs w:val="18"/>
          <w:color w:val="auto"/>
        </w:rPr>
        <w:t>General and administrative expenses consist of payroll, rental, and related expenses for employees involved in general corporate functions, including finance, legal and human resources; costs associated with use of facilities and equipment, such as depreciation expenses, rental and other general corporate related expenses.</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Others, net</w:t>
      </w:r>
    </w:p>
    <w:p>
      <w:pPr>
        <w:spacing w:after="0" w:line="115" w:lineRule="exact"/>
        <w:rPr>
          <w:sz w:val="20"/>
          <w:szCs w:val="20"/>
          <w:color w:val="auto"/>
        </w:rPr>
      </w:pPr>
    </w:p>
    <w:p>
      <w:pPr>
        <w:ind w:left="240" w:right="260" w:firstLine="438"/>
        <w:spacing w:after="0" w:line="275" w:lineRule="auto"/>
        <w:rPr>
          <w:sz w:val="20"/>
          <w:szCs w:val="20"/>
          <w:color w:val="auto"/>
        </w:rPr>
      </w:pPr>
      <w:r>
        <w:rPr>
          <w:rFonts w:ascii="Arial" w:cs="Arial" w:eastAsia="Arial" w:hAnsi="Arial"/>
          <w:sz w:val="18"/>
          <w:szCs w:val="18"/>
          <w:color w:val="auto"/>
        </w:rPr>
        <w:t>Others, net, mainly consist of non-operating income and expenses, foreign currency gains or losses, other impairment for all periods presented. Non-operating expenses mainly consist of accrued social security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80"/>
          </w:cols>
          <w:pgMar w:left="240" w:top="458"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60" w:hanging="444"/>
        <w:spacing w:after="0" w:line="383" w:lineRule="auto"/>
        <w:tabs>
          <w:tab w:leader="none" w:pos="67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Others, net (Continued)</w:t>
      </w:r>
    </w:p>
    <w:p>
      <w:pPr>
        <w:spacing w:after="0" w:line="1" w:lineRule="exact"/>
        <w:rPr>
          <w:sz w:val="20"/>
          <w:szCs w:val="20"/>
          <w:color w:val="auto"/>
        </w:rPr>
      </w:pPr>
    </w:p>
    <w:p>
      <w:pPr>
        <w:ind w:left="240" w:right="200"/>
        <w:spacing w:after="0" w:line="275" w:lineRule="auto"/>
        <w:rPr>
          <w:sz w:val="20"/>
          <w:szCs w:val="20"/>
          <w:color w:val="auto"/>
        </w:rPr>
      </w:pPr>
      <w:r>
        <w:rPr>
          <w:rFonts w:ascii="Arial" w:cs="Arial" w:eastAsia="Arial" w:hAnsi="Arial"/>
          <w:sz w:val="18"/>
          <w:szCs w:val="18"/>
          <w:color w:val="auto"/>
        </w:rPr>
        <w:t>underpayment surcharge. Other impairment mainly consists of write-offs of costs incurred for acquiring a Chinese licensed corporation in Hong Kong due to the change of the Group’s business plan.</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5" w:lineRule="exact"/>
        <w:rPr>
          <w:sz w:val="20"/>
          <w:szCs w:val="20"/>
          <w:color w:val="auto"/>
        </w:rPr>
      </w:pPr>
    </w:p>
    <w:p>
      <w:pPr>
        <w:ind w:left="240" w:right="220" w:firstLine="438"/>
        <w:spacing w:after="0" w:line="262" w:lineRule="auto"/>
        <w:rPr>
          <w:sz w:val="20"/>
          <w:szCs w:val="20"/>
          <w:color w:val="auto"/>
        </w:rPr>
      </w:pPr>
      <w:r>
        <w:rPr>
          <w:rFonts w:ascii="Arial" w:cs="Arial" w:eastAsia="Arial" w:hAnsi="Arial"/>
          <w:sz w:val="18"/>
          <w:szCs w:val="18"/>
          <w:color w:val="auto"/>
        </w:rPr>
        <w:t>All share-based awards to employees and directors, such as stock options, are measured at the grant date based on the fair value of the awards. Share-based compensation, net of estimated forfeitures, is recognized as expenses on a straight-line method over the requisite service period, which is the vesting period. Options granted generally vest over four or five years.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Group uses the fair value of each of the Company’s ordinary shares on the grant date to estimate the fair value of stock options.</w:t>
      </w:r>
    </w:p>
    <w:p>
      <w:pPr>
        <w:spacing w:after="0" w:line="234" w:lineRule="exact"/>
        <w:rPr>
          <w:sz w:val="20"/>
          <w:szCs w:val="20"/>
          <w:color w:val="auto"/>
        </w:rPr>
      </w:pPr>
    </w:p>
    <w:p>
      <w:pPr>
        <w:ind w:left="240" w:right="100" w:firstLine="438"/>
        <w:spacing w:after="0" w:line="262" w:lineRule="auto"/>
        <w:rPr>
          <w:sz w:val="20"/>
          <w:szCs w:val="20"/>
          <w:color w:val="auto"/>
        </w:rPr>
      </w:pPr>
      <w:r>
        <w:rPr>
          <w:rFonts w:ascii="Arial" w:cs="Arial" w:eastAsia="Arial" w:hAnsi="Arial"/>
          <w:sz w:val="18"/>
          <w:szCs w:val="18"/>
          <w:color w:val="auto"/>
        </w:rPr>
        <w:t>Forfeitures are estimated at the time of grant and revised in subsequent periods if actual forfeitures differ from those estimates. The Group uses historical data to estimate pre-vesting options and records share-based compensation expenses only for those awards that are expected to vest. See Note 13 for further discussion on share-based compensation.</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Fair Value of Preferred Shares and Ordinary Shares</w:t>
      </w:r>
    </w:p>
    <w:p>
      <w:pPr>
        <w:spacing w:after="0" w:line="115"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Shares of the Company, which do not have quoted market prices, were valued based on the income approach. The income approach involves applying the discounted cash flow analysis based on projected cash flow using the Group’s best estimate as of the valuation dates. Estimating future cash flow requires the Group to analyze projected revenue growth, gross margins, effective tax rates, capital expenditures and working capital requirements. In determining an appropriate discount rate, the Group considered the cost of equity and the rate of return expected by venture capitalists. The Group also applied a discount for lack of marketability given that the shares underlying the award were not publicly traded at the time of grant. Determination of estimated fair value of the Group requires complex and subjective judgments due to its limited financial and operating history, unique business risks and limited public information on companies in China similar to the Group.</w:t>
      </w:r>
    </w:p>
    <w:p>
      <w:pPr>
        <w:spacing w:after="0" w:line="179" w:lineRule="exact"/>
        <w:rPr>
          <w:sz w:val="20"/>
          <w:szCs w:val="20"/>
          <w:color w:val="auto"/>
        </w:rPr>
      </w:pPr>
    </w:p>
    <w:p>
      <w:pPr>
        <w:ind w:left="240" w:firstLine="438"/>
        <w:spacing w:after="0" w:line="269" w:lineRule="auto"/>
        <w:rPr>
          <w:sz w:val="20"/>
          <w:szCs w:val="20"/>
          <w:color w:val="auto"/>
        </w:rPr>
      </w:pPr>
      <w:r>
        <w:rPr>
          <w:rFonts w:ascii="Arial" w:cs="Arial" w:eastAsia="Arial" w:hAnsi="Arial"/>
          <w:sz w:val="17"/>
          <w:szCs w:val="17"/>
          <w:color w:val="auto"/>
        </w:rPr>
        <w:t>Option-pricing method was used to allocate enterprise value to preferred shares and ordinary shares. The method treats preferred shares and ordinary shares as call options on the enterprise’s value, with exercise prices based on the liquidation preference of the preferred shares. The strike prices of the “options” based on the characteristics of the Group’s capital structure, including number of shares of each class of ordinary shares, seniority levels, liquidation preferences, and conversion values for the preferred shares. The option-pricing method also involves making estimates of the anticipated timing of a potential liquidity event, such as a sale of the Group or an initial public offering, and estimates of the volatility of the Group’s equity securities. The anticipated timing is based on the plans of board of directors and management of the Group. Estimating the volatility of the share price of a privately held company is complex because there is no readily available market for the shares. Volatility is estimated based on annualized standard deviation of daily stock price return of comparable companies.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80"/>
          </w:cols>
          <w:pgMar w:left="240" w:top="458"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20" w:hanging="444"/>
        <w:spacing w:after="0" w:line="391" w:lineRule="auto"/>
        <w:tabs>
          <w:tab w:leader="none" w:pos="672"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Taxation</w:t>
      </w:r>
    </w:p>
    <w:p>
      <w:pPr>
        <w:spacing w:after="0" w:line="1" w:lineRule="exact"/>
        <w:rPr>
          <w:sz w:val="20"/>
          <w:szCs w:val="20"/>
          <w:color w:val="auto"/>
        </w:rPr>
      </w:pPr>
    </w:p>
    <w:p>
      <w:pPr>
        <w:ind w:left="660" w:hanging="424"/>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Income tax</w:t>
      </w:r>
    </w:p>
    <w:p>
      <w:pPr>
        <w:spacing w:after="0" w:line="115" w:lineRule="exact"/>
        <w:rPr>
          <w:sz w:val="20"/>
          <w:szCs w:val="20"/>
          <w:color w:val="auto"/>
        </w:rPr>
      </w:pPr>
    </w:p>
    <w:p>
      <w:pPr>
        <w:ind w:left="240" w:firstLine="438"/>
        <w:spacing w:after="0" w:line="290" w:lineRule="auto"/>
        <w:rPr>
          <w:sz w:val="20"/>
          <w:szCs w:val="20"/>
          <w:color w:val="auto"/>
        </w:rPr>
      </w:pPr>
      <w:r>
        <w:rPr>
          <w:rFonts w:ascii="Arial" w:cs="Arial" w:eastAsia="Arial" w:hAnsi="Arial"/>
          <w:sz w:val="16"/>
          <w:szCs w:val="16"/>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statement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10" w:lineRule="exact"/>
        <w:rPr>
          <w:sz w:val="20"/>
          <w:szCs w:val="20"/>
          <w:color w:val="auto"/>
        </w:rPr>
      </w:pPr>
    </w:p>
    <w:p>
      <w:pPr>
        <w:ind w:left="660" w:hanging="424"/>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Group did not recognize any interest and penalties associated with uncertain tax positions for the years ended December 31, 2016 and 2017.</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2016 and 2017, the Group did not have any significant unrecognized uncertain tax positions.</w:t>
      </w:r>
    </w:p>
    <w:p>
      <w:pPr>
        <w:spacing w:after="0" w:line="31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5" w:lineRule="exact"/>
        <w:rPr>
          <w:sz w:val="20"/>
          <w:szCs w:val="20"/>
          <w:color w:val="auto"/>
        </w:rPr>
      </w:pPr>
    </w:p>
    <w:p>
      <w:pPr>
        <w:ind w:left="240" w:right="40" w:firstLine="438"/>
        <w:spacing w:after="0" w:line="295" w:lineRule="auto"/>
        <w:rPr>
          <w:sz w:val="20"/>
          <w:szCs w:val="20"/>
          <w:color w:val="auto"/>
        </w:rPr>
      </w:pPr>
      <w:r>
        <w:rPr>
          <w:rFonts w:ascii="Arial" w:cs="Arial" w:eastAsia="Arial" w:hAnsi="Arial"/>
          <w:sz w:val="16"/>
          <w:szCs w:val="16"/>
          <w:color w:val="auto"/>
        </w:rPr>
        <w:t>Basic net loss per share is computed by dividing net loss attributable to ordinary shareholder, considering the accretion of redemption feature and cumulative dividend related to the Company’s redeemable convertible preferred shares, and undistributed earnings allocated to redeemable convertible preferred shares by the weighted average number of ordinary shares outstanding during the period using the two-class method. Under the two-class method, net income is allocated between ordinary shares and other participating securities based on their participating rights. Net loss is not allocated to other participating securities if based on their contractual terms they are not obligated to share the losses.</w:t>
      </w:r>
    </w:p>
    <w:p>
      <w:pPr>
        <w:spacing w:after="0" w:line="158" w:lineRule="exact"/>
        <w:rPr>
          <w:sz w:val="20"/>
          <w:szCs w:val="20"/>
          <w:color w:val="auto"/>
        </w:rPr>
      </w:pPr>
    </w:p>
    <w:p>
      <w:pPr>
        <w:ind w:left="240" w:right="20" w:firstLine="438"/>
        <w:spacing w:after="0" w:line="274" w:lineRule="auto"/>
        <w:rPr>
          <w:sz w:val="20"/>
          <w:szCs w:val="20"/>
          <w:color w:val="auto"/>
        </w:rPr>
      </w:pPr>
      <w:r>
        <w:rPr>
          <w:rFonts w:ascii="Arial" w:cs="Arial" w:eastAsia="Arial" w:hAnsi="Arial"/>
          <w:sz w:val="17"/>
          <w:szCs w:val="17"/>
          <w:color w:val="auto"/>
        </w:rPr>
        <w:t>Diluted net loss per share is calculated by dividing net loss attributable to ordinary shareholder, as adjusted for the effect of dilutive ordinary equivalent shares, if any, by the weighted average number of ordinary and dilutive ordinary equivalent shares outstanding during the period. Ordinary equivalent shares consist of ordinary shares issuable upon the conversion of the redeemable convertible preferred shares, using the if-converted method, and shares issuable upon the exercise of share options using the treasury stock method. Ordinary equivalent shares are not included in the denominator of the diluted net loss per share calculation when inclusion of such share would be anti-dilutive.</w:t>
      </w:r>
    </w:p>
    <w:p>
      <w:pPr>
        <w:spacing w:after="0" w:line="28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5" w:lineRule="exact"/>
        <w:rPr>
          <w:sz w:val="20"/>
          <w:szCs w:val="20"/>
          <w:color w:val="auto"/>
        </w:rPr>
      </w:pPr>
    </w:p>
    <w:p>
      <w:pPr>
        <w:ind w:left="240" w:firstLine="438"/>
        <w:spacing w:after="0" w:line="274" w:lineRule="auto"/>
        <w:rPr>
          <w:sz w:val="20"/>
          <w:szCs w:val="20"/>
          <w:color w:val="auto"/>
        </w:rPr>
      </w:pPr>
      <w:r>
        <w:rPr>
          <w:rFonts w:ascii="Arial" w:cs="Arial" w:eastAsia="Arial" w:hAnsi="Arial"/>
          <w:sz w:val="17"/>
          <w:szCs w:val="17"/>
          <w:color w:val="auto"/>
        </w:rPr>
        <w:t>Operating segments are reported in a manner consistent with the internal reporting provided to the chief operating decision-maker. The chief operating decision-makers is the person or group that allocates resources to and assesses the performance of the operating segments of an entity. The Group’s reporting segments are decided based on its operating segments while taking full consideration of various factors such as products and services, geographic location and regulatory environment related to administration of the management. Operating segments meeting the same qualifications are allocated as one reporting segment, providing independent disclosures.</w:t>
      </w:r>
    </w:p>
    <w:p>
      <w:pPr>
        <w:spacing w:after="0" w:line="1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240" w:top="458" w:right="5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60" w:hanging="444"/>
        <w:spacing w:after="0" w:line="383" w:lineRule="auto"/>
        <w:tabs>
          <w:tab w:leader="none" w:pos="672"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(Continued) </w:t>
      </w:r>
      <w:r>
        <w:rPr>
          <w:rFonts w:ascii="Arial" w:cs="Arial" w:eastAsia="Arial" w:hAnsi="Arial"/>
          <w:sz w:val="18"/>
          <w:szCs w:val="18"/>
          <w:b w:val="1"/>
          <w:bCs w:val="1"/>
          <w:i w:val="1"/>
          <w:iCs w:val="1"/>
          <w:color w:val="auto"/>
        </w:rPr>
        <w:t>Segment Reporting (Continued)</w:t>
      </w:r>
    </w:p>
    <w:p>
      <w:pPr>
        <w:spacing w:after="0" w:line="1" w:lineRule="exact"/>
        <w:rPr>
          <w:sz w:val="20"/>
          <w:szCs w:val="20"/>
          <w:color w:val="auto"/>
        </w:rPr>
      </w:pPr>
    </w:p>
    <w:p>
      <w:pPr>
        <w:ind w:left="240" w:right="100" w:firstLine="438"/>
        <w:spacing w:after="0" w:line="309" w:lineRule="auto"/>
        <w:rPr>
          <w:sz w:val="20"/>
          <w:szCs w:val="20"/>
          <w:color w:val="auto"/>
        </w:rPr>
      </w:pPr>
      <w:r>
        <w:rPr>
          <w:rFonts w:ascii="Arial" w:cs="Arial" w:eastAsia="Arial" w:hAnsi="Arial"/>
          <w:sz w:val="16"/>
          <w:szCs w:val="16"/>
          <w:color w:val="auto"/>
        </w:rPr>
        <w:t>The Group engages primarily in online brokerage services and margin financing services for clients in Hong Kong and PRC. The Group does not distinguish between markets or segments for the purpose of internal reports. The Group does not distinguish revenues, costs and expenses between segments in its internal reporting, and reports costs and expenses by nature as a whole. Hence, the Group has only one reportable segment.</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29" w:lineRule="exact"/>
        <w:rPr>
          <w:sz w:val="20"/>
          <w:szCs w:val="20"/>
          <w:color w:val="auto"/>
        </w:rPr>
      </w:pPr>
    </w:p>
    <w:p>
      <w:pPr>
        <w:ind w:left="660" w:hanging="424"/>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Currency risk</w:t>
      </w:r>
    </w:p>
    <w:p>
      <w:pPr>
        <w:spacing w:after="0" w:line="115" w:lineRule="exact"/>
        <w:rPr>
          <w:sz w:val="20"/>
          <w:szCs w:val="20"/>
          <w:color w:val="auto"/>
        </w:rPr>
      </w:pPr>
    </w:p>
    <w:p>
      <w:pPr>
        <w:ind w:left="240" w:right="140" w:firstLine="438"/>
        <w:spacing w:after="0" w:line="272" w:lineRule="auto"/>
        <w:rPr>
          <w:sz w:val="20"/>
          <w:szCs w:val="20"/>
          <w:color w:val="auto"/>
        </w:rPr>
      </w:pPr>
      <w:r>
        <w:rPr>
          <w:rFonts w:ascii="Arial" w:cs="Arial" w:eastAsia="Arial" w:hAnsi="Arial"/>
          <w:sz w:val="17"/>
          <w:szCs w:val="17"/>
          <w:color w:val="auto"/>
        </w:rPr>
        <w:t>Currency risk arises from the possibility that fluctuations in foreign exchange rates will impact the value of financial instruments. As an online broker active in Hong Kong and the U.S. market, the Operating Company is exposed to minimal transactional foreign currency risk since Hong Kong dollars are pegged against U.S. dollars. The impact of foreign currency fluctuations in the Group’s earnings is included in “others, net” in the consolidated statements of comprehensive loss. At the same time, the Group is exposed to translational foreign currency risk since most of the Group’s subsidiaries have RMB as their functional currency. Therefore, RMB depreciation against Hong Kong dollars could have a material adverse impact on the foreign currency translation adjustment in the consolidated statements of comprehensive loss.</w:t>
      </w:r>
    </w:p>
    <w:p>
      <w:pPr>
        <w:spacing w:after="0" w:line="322" w:lineRule="exact"/>
        <w:rPr>
          <w:sz w:val="20"/>
          <w:szCs w:val="20"/>
          <w:color w:val="auto"/>
        </w:rPr>
      </w:pPr>
    </w:p>
    <w:p>
      <w:pPr>
        <w:ind w:left="660" w:hanging="424"/>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15" w:lineRule="exact"/>
        <w:rPr>
          <w:sz w:val="20"/>
          <w:szCs w:val="20"/>
          <w:color w:val="auto"/>
        </w:rPr>
      </w:pPr>
    </w:p>
    <w:p>
      <w:pPr>
        <w:ind w:left="240" w:firstLine="438"/>
        <w:spacing w:after="0" w:line="270" w:lineRule="auto"/>
        <w:rPr>
          <w:sz w:val="20"/>
          <w:szCs w:val="20"/>
          <w:color w:val="auto"/>
        </w:rPr>
      </w:pPr>
      <w:r>
        <w:rPr>
          <w:rFonts w:ascii="Arial" w:cs="Arial" w:eastAsia="Arial" w:hAnsi="Arial"/>
          <w:sz w:val="17"/>
          <w:szCs w:val="17"/>
          <w:color w:val="auto"/>
        </w:rPr>
        <w:t>The Group’s securities activities are transacted on either a cash or margin basis. The Group’s credit risk is limited in that substantially all of the contracts entered into are settled directly at securities clearing organization. In margin transactions, the Group extends credit to the client, subject to various regulatory and internal margin requirements, collateralized by cash and securities in the client’s account. IPO loans are exposed to credit risk from clients who fail to repay the loans upon IPO stock allotment. We monitor our clients’ collateral level and have the right to dispose the newly alloted stocks once the stocks start trading. Bridge loans to enterprise pledged by shares are exposed to credit risk from counterparties who fails to repay the loans, the Group monitors on the collateral level of bridge loans in real time, and has the right to dispose of the pledged shares once the collateral level falls under the minimal level required to get the loans repaid.</w:t>
      </w:r>
    </w:p>
    <w:p>
      <w:pPr>
        <w:spacing w:after="0" w:line="179"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Liabilities to other brokers and dealers related to unsettled transactions are recorded at the amount for which the securities were purchased, and are paid upon receipt of the securities from other brokers or dealers.</w:t>
      </w:r>
    </w:p>
    <w:p>
      <w:pPr>
        <w:spacing w:after="0" w:line="170" w:lineRule="exact"/>
        <w:rPr>
          <w:sz w:val="20"/>
          <w:szCs w:val="20"/>
          <w:color w:val="auto"/>
        </w:rPr>
      </w:pPr>
    </w:p>
    <w:p>
      <w:pPr>
        <w:ind w:left="240" w:right="20" w:firstLine="438"/>
        <w:spacing w:after="0" w:line="300" w:lineRule="auto"/>
        <w:rPr>
          <w:sz w:val="20"/>
          <w:szCs w:val="20"/>
          <w:color w:val="auto"/>
        </w:rPr>
      </w:pPr>
      <w:r>
        <w:rPr>
          <w:rFonts w:ascii="Arial" w:cs="Arial" w:eastAsia="Arial" w:hAnsi="Arial"/>
          <w:sz w:val="16"/>
          <w:szCs w:val="16"/>
          <w:color w:val="auto"/>
        </w:rPr>
        <w:t>In connection with its clearing activities, the Group is obligated to settle transactions with brokers and other financial institutions even if its clients fail to meet their obligations to the Group. Clients are required to complete their transactions by the settlement date, generally two business days after the trade date. If clients do not fulfill their contractual obligations, the Group may incur losses. The Group has established procedures to reduce this risk by generally requiring that clients deposit sufficient cash and/or securities into their account prior to placing an order.</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Concentrations of Credit Risk</w:t>
      </w:r>
    </w:p>
    <w:p>
      <w:pPr>
        <w:spacing w:after="0" w:line="115" w:lineRule="exact"/>
        <w:rPr>
          <w:sz w:val="20"/>
          <w:szCs w:val="20"/>
          <w:color w:val="auto"/>
        </w:rPr>
      </w:pPr>
    </w:p>
    <w:p>
      <w:pPr>
        <w:ind w:left="240" w:right="180" w:firstLine="438"/>
        <w:spacing w:after="0" w:line="309" w:lineRule="auto"/>
        <w:rPr>
          <w:sz w:val="20"/>
          <w:szCs w:val="20"/>
          <w:color w:val="auto"/>
        </w:rPr>
      </w:pPr>
      <w:r>
        <w:rPr>
          <w:rFonts w:ascii="Arial" w:cs="Arial" w:eastAsia="Arial" w:hAnsi="Arial"/>
          <w:sz w:val="16"/>
          <w:szCs w:val="16"/>
          <w:color w:val="auto"/>
        </w:rPr>
        <w:t>The Group’s exposure to credit risk associated with its trading and other activities is measured on an individual counterparty basis, as well as by groups of counterparties that share similar attributes. There was no revenue from clients which individually represented greater than 10% of the total revenues for the year ended December 31, 2016 and 2017, respectively. Concentrations of credit risk can be affected by changes in political,</w:t>
      </w:r>
    </w:p>
    <w:p>
      <w:pPr>
        <w:spacing w:after="0" w:line="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80"/>
          </w:cols>
          <w:pgMar w:left="240" w:top="457"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40" w:hanging="444"/>
        <w:spacing w:after="0" w:line="406" w:lineRule="auto"/>
        <w:tabs>
          <w:tab w:leader="none" w:pos="672"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(Continued) </w:t>
      </w:r>
      <w:r>
        <w:rPr>
          <w:rFonts w:ascii="Arial" w:cs="Arial" w:eastAsia="Arial" w:hAnsi="Arial"/>
          <w:sz w:val="17"/>
          <w:szCs w:val="17"/>
          <w:b w:val="1"/>
          <w:bCs w:val="1"/>
          <w:i w:val="1"/>
          <w:iCs w:val="1"/>
          <w:color w:val="auto"/>
        </w:rPr>
        <w:t>Significant Risks and Uncertainties (Continued)</w:t>
      </w:r>
    </w:p>
    <w:p>
      <w:pPr>
        <w:spacing w:after="0" w:line="1" w:lineRule="exact"/>
        <w:rPr>
          <w:sz w:val="20"/>
          <w:szCs w:val="20"/>
          <w:color w:val="auto"/>
        </w:rPr>
      </w:pPr>
    </w:p>
    <w:p>
      <w:pPr>
        <w:ind w:left="660" w:hanging="424"/>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Credit risk (Continued)</w:t>
      </w:r>
    </w:p>
    <w:p>
      <w:pPr>
        <w:spacing w:after="0" w:line="11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i w:val="1"/>
          <w:iCs w:val="1"/>
          <w:color w:val="auto"/>
        </w:rPr>
        <w:t>Concentrations of Credit Risk (Continued)</w:t>
      </w:r>
    </w:p>
    <w:p>
      <w:pPr>
        <w:spacing w:after="0" w:line="129" w:lineRule="exact"/>
        <w:rPr>
          <w:sz w:val="20"/>
          <w:szCs w:val="20"/>
          <w:color w:val="auto"/>
        </w:rPr>
      </w:pPr>
    </w:p>
    <w:p>
      <w:pPr>
        <w:ind w:left="240" w:right="80"/>
        <w:spacing w:after="0" w:line="262" w:lineRule="auto"/>
        <w:rPr>
          <w:sz w:val="20"/>
          <w:szCs w:val="20"/>
          <w:color w:val="auto"/>
        </w:rPr>
      </w:pPr>
      <w:r>
        <w:rPr>
          <w:rFonts w:ascii="Arial" w:cs="Arial" w:eastAsia="Arial" w:hAnsi="Arial"/>
          <w:sz w:val="18"/>
          <w:szCs w:val="18"/>
          <w:color w:val="auto"/>
        </w:rPr>
        <w:t>industry, or economic factors. To reduce the potential for risk concentration, credit limits are established and exposure is monitored in light of changing counterparty and market conditions. As of December 31, 2017 and 2016, the Group did not have any material concentrations of credit risk outside the ordinary course of business.</w:t>
      </w:r>
    </w:p>
    <w:p>
      <w:pPr>
        <w:spacing w:after="0" w:line="329" w:lineRule="exact"/>
        <w:rPr>
          <w:sz w:val="20"/>
          <w:szCs w:val="20"/>
          <w:color w:val="auto"/>
        </w:rPr>
      </w:pPr>
    </w:p>
    <w:p>
      <w:pPr>
        <w:ind w:left="660" w:hanging="424"/>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115" w:lineRule="exact"/>
        <w:rPr>
          <w:sz w:val="20"/>
          <w:szCs w:val="20"/>
          <w:color w:val="auto"/>
        </w:rPr>
      </w:pPr>
    </w:p>
    <w:p>
      <w:pPr>
        <w:ind w:left="240" w:right="140" w:firstLine="438"/>
        <w:spacing w:after="0" w:line="262" w:lineRule="auto"/>
        <w:rPr>
          <w:sz w:val="20"/>
          <w:szCs w:val="20"/>
          <w:color w:val="auto"/>
        </w:rPr>
      </w:pPr>
      <w:r>
        <w:rPr>
          <w:rFonts w:ascii="Arial" w:cs="Arial" w:eastAsia="Arial" w:hAnsi="Arial"/>
          <w:sz w:val="18"/>
          <w:szCs w:val="18"/>
          <w:color w:val="auto"/>
        </w:rPr>
        <w:t>Fluctuations in market interest rates may negatively affect our financial condition and results of operations. The Group is exposed to floating interest rate risk on cash deposit and floating rate borrowings, and the risks due to changes in interest rates is not material. The Group has not used any derivative financial instruments to manage our interest risk exposure.</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left="240" w:firstLine="438"/>
        <w:spacing w:after="0" w:line="290" w:lineRule="auto"/>
        <w:rPr>
          <w:sz w:val="20"/>
          <w:szCs w:val="20"/>
          <w:color w:val="auto"/>
        </w:rPr>
      </w:pPr>
      <w:r>
        <w:rPr>
          <w:rFonts w:ascii="Arial" w:cs="Arial" w:eastAsia="Arial" w:hAnsi="Arial"/>
          <w:sz w:val="16"/>
          <w:szCs w:val="16"/>
          <w:color w:val="auto"/>
        </w:rPr>
        <w:t>In May 2014, the FASB issued ASU 2014-09, “Revenue from Contracts with Clients (Topic 606) (“ASU 2014-09”) and subsequently, the FASB issued several amendments which amend certain aspects of the guidance in ASC 2014-09 (ASU No. 2014-09 and the related amendments are collectively referred to as “ASC 606”). According to ASC 606, revenue is recognized when control of the promised good or service is transferred to the clients, in an amount that reflects the consideration The Group expect to be entitled to in exchange for those goods or services. The Group will enter into contracts that can include various combinations of products and services, which are generally capable of being distinct and accounted for as separate performance obligations. Revenue is recognized net of allowances for returns, and any taxes collected from clients, which are subsequently remitted to governmental authorities. The Group adopted ASC 606 using the full retrospective method for all periods presented.</w:t>
      </w:r>
    </w:p>
    <w:p>
      <w:pPr>
        <w:spacing w:after="0" w:line="162" w:lineRule="exact"/>
        <w:rPr>
          <w:sz w:val="20"/>
          <w:szCs w:val="20"/>
          <w:color w:val="auto"/>
        </w:rPr>
      </w:pPr>
    </w:p>
    <w:p>
      <w:pPr>
        <w:ind w:left="240" w:firstLine="438"/>
        <w:spacing w:after="0" w:line="286" w:lineRule="auto"/>
        <w:rPr>
          <w:sz w:val="20"/>
          <w:szCs w:val="20"/>
          <w:color w:val="auto"/>
        </w:rPr>
      </w:pPr>
      <w:r>
        <w:rPr>
          <w:rFonts w:ascii="Arial" w:cs="Arial" w:eastAsia="Arial" w:hAnsi="Arial"/>
          <w:sz w:val="16"/>
          <w:szCs w:val="16"/>
          <w:color w:val="auto"/>
        </w:rPr>
        <w:t>In January 2016, the FASB issued ASU No. 2016-01, Financial Instruments—Overall (Subtopic 825-10): Recognition and Measurement of Financial Assets and Financial Liabilities (“ASU 2016-01”). The main objective of this update is to enhance the reporting model for financial instruments to provide users of financial statements with more decision-useful information. ASU 2016-01 changes how entities measure certain equity investments and present changes in the fair value of financial liabilities measured under the fair value option that are attributable to their own credit. The guidance also changes certain disclosure requirements and other aspects of current U.S. GAAP. Further, in March 2018, the FASB issued “Technical Corrections and Improvements to Financial Instruments—Overall (Subtopic 825-10): Recognition and Measurement of Financial Assets and Financial Liabilities,” which provides further guidance on adjustments for observable transaction for equity securities without a readily determinable fair value and clarification on fair value option for liabilities instruments. ASU 2016-01 is effective for annual reporting periods, and interim periods within those years beginning after December 15, 2017. Early adoption by public entities is permitted only for certain provisions. The Group does not expect the adoption of ASU 2016-01 to have a significant impact on consolidated financial statements and associated disclosures.</w:t>
      </w:r>
    </w:p>
    <w:p>
      <w:pPr>
        <w:spacing w:after="0" w:line="171" w:lineRule="exact"/>
        <w:rPr>
          <w:sz w:val="20"/>
          <w:szCs w:val="20"/>
          <w:color w:val="auto"/>
        </w:rPr>
      </w:pPr>
    </w:p>
    <w:p>
      <w:pPr>
        <w:ind w:left="240" w:right="360" w:firstLine="438"/>
        <w:spacing w:after="0" w:line="262" w:lineRule="auto"/>
        <w:rPr>
          <w:sz w:val="20"/>
          <w:szCs w:val="20"/>
          <w:color w:val="auto"/>
        </w:rPr>
      </w:pPr>
      <w:r>
        <w:rPr>
          <w:rFonts w:ascii="Arial" w:cs="Arial" w:eastAsia="Arial" w:hAnsi="Arial"/>
          <w:sz w:val="18"/>
          <w:szCs w:val="18"/>
          <w:color w:val="auto"/>
        </w:rPr>
        <w:t>In February 2016, the FASB issued ASU No. 2016-02, Leases (Topic 842). The ASU is effective for reporting periods beginning after December 15, 2018 and interim periods within those fiscal years. Early adoption is permitted. The ASU will require lessees to report most leases as assets and liabilities on the balance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60"/>
          </w:cols>
          <w:pgMar w:left="240" w:top="458" w:right="4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60" w:hanging="444"/>
        <w:spacing w:after="0" w:line="406" w:lineRule="auto"/>
        <w:tabs>
          <w:tab w:leader="none" w:pos="672"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(Continued) </w:t>
      </w:r>
      <w:r>
        <w:rPr>
          <w:rFonts w:ascii="Arial" w:cs="Arial" w:eastAsia="Arial" w:hAnsi="Arial"/>
          <w:sz w:val="17"/>
          <w:szCs w:val="17"/>
          <w:b w:val="1"/>
          <w:bCs w:val="1"/>
          <w:i w:val="1"/>
          <w:iCs w:val="1"/>
          <w:color w:val="auto"/>
        </w:rPr>
        <w:t>Recent Accounting Pronouncements (Continued)</w:t>
      </w:r>
    </w:p>
    <w:p>
      <w:pPr>
        <w:spacing w:after="0" w:line="1" w:lineRule="exact"/>
        <w:rPr>
          <w:sz w:val="20"/>
          <w:szCs w:val="20"/>
          <w:color w:val="auto"/>
        </w:rPr>
      </w:pPr>
    </w:p>
    <w:p>
      <w:pPr>
        <w:jc w:val="both"/>
        <w:ind w:left="240" w:right="100"/>
        <w:spacing w:after="0" w:line="262" w:lineRule="auto"/>
        <w:rPr>
          <w:sz w:val="20"/>
          <w:szCs w:val="20"/>
          <w:color w:val="auto"/>
        </w:rPr>
      </w:pPr>
      <w:r>
        <w:rPr>
          <w:rFonts w:ascii="Arial" w:cs="Arial" w:eastAsia="Arial" w:hAnsi="Arial"/>
          <w:sz w:val="18"/>
          <w:szCs w:val="18"/>
          <w:color w:val="auto"/>
        </w:rPr>
        <w:t>sheet, while lessor accounting will remain substantially unchanged. The ASU requires a modified retrospective transition approach for existing leases, whereby the new rules will be applied to the earliest year presented. The Group is currently evaluating the impact that the adoption of this standard will have on its financial condition and results from operations.</w:t>
      </w:r>
    </w:p>
    <w:p>
      <w:pPr>
        <w:spacing w:after="0" w:line="181" w:lineRule="exact"/>
        <w:rPr>
          <w:sz w:val="20"/>
          <w:szCs w:val="20"/>
          <w:color w:val="auto"/>
        </w:rPr>
      </w:pPr>
    </w:p>
    <w:p>
      <w:pPr>
        <w:ind w:left="240" w:firstLine="438"/>
        <w:spacing w:after="0" w:line="252" w:lineRule="auto"/>
        <w:rPr>
          <w:sz w:val="20"/>
          <w:szCs w:val="20"/>
          <w:color w:val="auto"/>
        </w:rPr>
      </w:pPr>
      <w:r>
        <w:rPr>
          <w:rFonts w:ascii="Arial" w:cs="Arial" w:eastAsia="Arial" w:hAnsi="Arial"/>
          <w:sz w:val="18"/>
          <w:szCs w:val="18"/>
          <w:color w:val="auto"/>
        </w:rPr>
        <w:t>In March 2016, the FASB issued ASU No. 2016-09, Compensation—Stock Compensation (Topic 718): Improvements to Employee Share-Based Payment Accounting (“ASU 2016-09”). ASU 2016-09 simplifies the accounting for share-based payment transactions specifically related to the tax effects associates with share-based compensation, an accounting policy election to determine how forfeitures are recorded and a change in the presentation requirements in the statement of cash flows. Non-public companies are also granted two additional optional provisions that would provide a practical expedient for determining the expected term and a one-time opportunity to change the measurement basis for all liability-classified awards to intrinsic value. The amendments are effective for fiscal years beginning after December 15, 2017, and interim periods within those fiscal years. Early adoption is permitted. The Group does not expect the adoption of ASU 2017-09 to have a significant impact on the consolidated financial statements and associated disclosures.</w:t>
      </w:r>
    </w:p>
    <w:p>
      <w:pPr>
        <w:spacing w:after="0" w:line="195" w:lineRule="exact"/>
        <w:rPr>
          <w:sz w:val="20"/>
          <w:szCs w:val="20"/>
          <w:color w:val="auto"/>
        </w:rPr>
      </w:pPr>
    </w:p>
    <w:p>
      <w:pPr>
        <w:ind w:left="240" w:right="80" w:firstLine="438"/>
        <w:spacing w:after="0" w:line="300" w:lineRule="auto"/>
        <w:rPr>
          <w:sz w:val="20"/>
          <w:szCs w:val="20"/>
          <w:color w:val="auto"/>
        </w:rPr>
      </w:pPr>
      <w:r>
        <w:rPr>
          <w:rFonts w:ascii="Arial" w:cs="Arial" w:eastAsia="Arial" w:hAnsi="Arial"/>
          <w:sz w:val="16"/>
          <w:szCs w:val="16"/>
          <w:color w:val="auto"/>
        </w:rPr>
        <w:t>In June 2016, FASB amended guidance related to impairment of financial instruments as part of ASU 2016-13 Financial Instruments—Credit Losses (Topic 326): Measurement of Credit Losses on Financial Instruments, which will be effective on January 1, 2020. The guidance replaces the incurred loss impairment methodology with an expected credit loss model for which a group is required to recognize an allowance based on its estimate of expected credit loss. The Group is currently evaluating the impact of this new guidance on the consolidated financial statements.</w:t>
      </w:r>
    </w:p>
    <w:p>
      <w:pPr>
        <w:spacing w:after="0" w:line="154" w:lineRule="exact"/>
        <w:rPr>
          <w:sz w:val="20"/>
          <w:szCs w:val="20"/>
          <w:color w:val="auto"/>
        </w:rPr>
      </w:pPr>
    </w:p>
    <w:p>
      <w:pPr>
        <w:ind w:left="240" w:right="60" w:firstLine="438"/>
        <w:spacing w:after="0" w:line="292" w:lineRule="auto"/>
        <w:rPr>
          <w:sz w:val="20"/>
          <w:szCs w:val="20"/>
          <w:color w:val="auto"/>
        </w:rPr>
      </w:pPr>
      <w:r>
        <w:rPr>
          <w:rFonts w:ascii="Arial" w:cs="Arial" w:eastAsia="Arial" w:hAnsi="Arial"/>
          <w:sz w:val="16"/>
          <w:szCs w:val="16"/>
          <w:color w:val="auto"/>
        </w:rPr>
        <w:t>In November 2016, the FASB issued ASU No. 2016-18, Statement of Cash Flows: Restricted Cash (Topic 230).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ASU is effective for fiscal years beginning after December 15, 2017, and interim periods within fiscal years beginning after December 15, 2018. Early adoption is permitted, including adoption in an interim period. The Group has early adopted the ASU for the periods presented.</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80"/>
          </w:cols>
          <w:pgMar w:left="240" w:top="458"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060" w:hanging="444"/>
        <w:spacing w:after="0" w:line="422" w:lineRule="auto"/>
        <w:tabs>
          <w:tab w:leader="none" w:pos="672"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ASSETS AND FINANCIAL LIABILITIES </w:t>
      </w:r>
      <w:r>
        <w:rPr>
          <w:rFonts w:ascii="Arial" w:cs="Arial" w:eastAsia="Arial" w:hAnsi="Arial"/>
          <w:sz w:val="16"/>
          <w:szCs w:val="16"/>
          <w:b w:val="1"/>
          <w:bCs w:val="1"/>
          <w:i w:val="1"/>
          <w:iCs w:val="1"/>
          <w:color w:val="auto"/>
        </w:rPr>
        <w:t>Financial Assets and Liabilities Measured at Fair Value</w:t>
      </w:r>
    </w:p>
    <w:p>
      <w:pPr>
        <w:spacing w:after="0" w:line="1"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The following tables set forth, by level within the fair value hierarchy (see Note 2), financial assets measured at fair value as of December 31, 2017 and December 31, 2016. As required by ASC Topic 820, financial assets and financial liabilities are classified in their entirety based on the lowest level of input that is significant to the respective fair value measurement.</w:t>
      </w:r>
    </w:p>
    <w:p>
      <w:pPr>
        <w:spacing w:after="0" w:line="200"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Financial Assets At Fair Value as of</w:t>
      </w:r>
    </w:p>
    <w:p>
      <w:pPr>
        <w:jc w:val="center"/>
        <w:ind w:left="6500"/>
        <w:spacing w:after="0" w:line="234" w:lineRule="auto"/>
        <w:rPr>
          <w:sz w:val="20"/>
          <w:szCs w:val="20"/>
          <w:color w:val="auto"/>
        </w:rPr>
      </w:pPr>
      <w:r>
        <w:rPr>
          <w:rFonts w:ascii="Arial" w:cs="Arial" w:eastAsia="Arial" w:hAnsi="Arial"/>
          <w:sz w:val="14"/>
          <w:szCs w:val="14"/>
          <w:b w:val="1"/>
          <w:bCs w:val="1"/>
          <w:color w:val="auto"/>
        </w:rPr>
        <w:t>December 31, 2017</w:t>
      </w:r>
    </w:p>
    <w:tbl>
      <w:tblPr>
        <w:tblLayout w:type="fixed"/>
        <w:tblInd w:w="680" w:type="dxa"/>
        <w:tblCellMar>
          <w:top w:w="0" w:type="dxa"/>
          <w:left w:w="0" w:type="dxa"/>
          <w:bottom w:w="0" w:type="dxa"/>
          <w:right w:w="0" w:type="dxa"/>
        </w:tblCellMar>
      </w:tblPr>
      <w:tr>
        <w:trPr>
          <w:trHeight w:val="118"/>
        </w:trPr>
        <w:tc>
          <w:tcPr>
            <w:tcW w:w="6560" w:type="dxa"/>
            <w:vAlign w:val="bottom"/>
          </w:tcPr>
          <w:p>
            <w:pPr>
              <w:spacing w:after="0"/>
              <w:rPr>
                <w:sz w:val="10"/>
                <w:szCs w:val="10"/>
                <w:color w:val="auto"/>
              </w:rPr>
            </w:pPr>
          </w:p>
        </w:tc>
        <w:tc>
          <w:tcPr>
            <w:tcW w:w="780" w:type="dxa"/>
            <w:vAlign w:val="bottom"/>
            <w:tcBorders>
              <w:top w:val="single" w:sz="8" w:color="auto"/>
            </w:tcBorders>
            <w:gridSpan w:val="3"/>
          </w:tcPr>
          <w:p>
            <w:pPr>
              <w:jc w:val="right"/>
              <w:ind w:right="251"/>
              <w:spacing w:after="0" w:line="119" w:lineRule="exact"/>
              <w:rPr>
                <w:sz w:val="20"/>
                <w:szCs w:val="20"/>
                <w:color w:val="auto"/>
              </w:rPr>
            </w:pPr>
            <w:r>
              <w:rPr>
                <w:rFonts w:ascii="Arial" w:cs="Arial" w:eastAsia="Arial" w:hAnsi="Arial"/>
                <w:sz w:val="13"/>
                <w:szCs w:val="13"/>
                <w:b w:val="1"/>
                <w:bCs w:val="1"/>
                <w:color w:val="auto"/>
                <w:w w:val="95"/>
              </w:rPr>
              <w:t>Level 1</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right"/>
              <w:ind w:right="600"/>
              <w:spacing w:after="0" w:line="119" w:lineRule="exact"/>
              <w:rPr>
                <w:sz w:val="20"/>
                <w:szCs w:val="20"/>
                <w:color w:val="auto"/>
              </w:rPr>
            </w:pPr>
            <w:r>
              <w:rPr>
                <w:rFonts w:ascii="Arial" w:cs="Arial" w:eastAsia="Arial" w:hAnsi="Arial"/>
                <w:sz w:val="13"/>
                <w:szCs w:val="13"/>
                <w:b w:val="1"/>
                <w:bCs w:val="1"/>
                <w:color w:val="auto"/>
                <w:w w:val="95"/>
              </w:rPr>
              <w:t>Level 2</w:t>
            </w:r>
          </w:p>
        </w:tc>
        <w:tc>
          <w:tcPr>
            <w:tcW w:w="9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Level 3</w:t>
            </w: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0"/>
                <w:szCs w:val="10"/>
                <w:color w:val="auto"/>
              </w:rPr>
            </w:pPr>
          </w:p>
        </w:tc>
      </w:tr>
      <w:tr>
        <w:trPr>
          <w:trHeight w:val="170"/>
        </w:trPr>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8"/>
          </w:tcPr>
          <w:p>
            <w:pPr>
              <w:ind w:left="120"/>
              <w:spacing w:after="0"/>
              <w:rPr>
                <w:sz w:val="20"/>
                <w:szCs w:val="20"/>
                <w:color w:val="auto"/>
              </w:rPr>
            </w:pPr>
            <w:r>
              <w:rPr>
                <w:rFonts w:ascii="Arial" w:cs="Arial" w:eastAsia="Arial" w:hAnsi="Arial"/>
                <w:sz w:val="14"/>
                <w:szCs w:val="14"/>
                <w:b w:val="1"/>
                <w:bCs w:val="1"/>
                <w:color w:val="auto"/>
              </w:rPr>
              <w:t>(HK$ in thousand)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5"/>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r>
      <w:tr>
        <w:trPr>
          <w:trHeight w:val="374"/>
        </w:trPr>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gridSpan w:val="9"/>
          </w:tcPr>
          <w:p>
            <w:pPr>
              <w:ind w:left="20"/>
              <w:spacing w:after="0"/>
              <w:rPr>
                <w:sz w:val="20"/>
                <w:szCs w:val="20"/>
                <w:color w:val="auto"/>
              </w:rPr>
            </w:pPr>
            <w:r>
              <w:rPr>
                <w:rFonts w:ascii="Arial" w:cs="Arial" w:eastAsia="Arial" w:hAnsi="Arial"/>
                <w:sz w:val="14"/>
                <w:szCs w:val="14"/>
                <w:b w:val="1"/>
                <w:bCs w:val="1"/>
                <w:color w:val="auto"/>
                <w:w w:val="92"/>
              </w:rPr>
              <w:t>Financial Assets At Fair Value as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0"/>
        </w:trPr>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w w:val="96"/>
              </w:rPr>
              <w:t>December 31, 2016</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8"/>
        </w:trPr>
        <w:tc>
          <w:tcPr>
            <w:tcW w:w="6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Level 1</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Level 3</w:t>
            </w:r>
          </w:p>
        </w:tc>
        <w:tc>
          <w:tcPr>
            <w:tcW w:w="460" w:type="dxa"/>
            <w:vAlign w:val="bottom"/>
            <w:gridSpan w:val="2"/>
          </w:tcPr>
          <w:p>
            <w:pPr>
              <w:jc w:val="right"/>
              <w:ind w:right="2"/>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r>
      <w:tr>
        <w:trPr>
          <w:trHeight w:val="170"/>
        </w:trPr>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(HK$ in thousand)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5"/>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financial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2,236</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2,236</w:t>
            </w: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Other financial assets</w:t>
            </w:r>
          </w:p>
        </w:tc>
        <w:tc>
          <w:tcPr>
            <w:tcW w:w="32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r>
      <w:tr>
        <w:trPr>
          <w:trHeight w:val="215"/>
        </w:trPr>
        <w:tc>
          <w:tcPr>
            <w:tcW w:w="65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0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2,236</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2,251</w:t>
            </w:r>
          </w:p>
        </w:tc>
      </w:tr>
      <w:tr>
        <w:trPr>
          <w:trHeight w:val="20"/>
        </w:trPr>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Transfers Between Level 1 and Level 2</w:t>
      </w:r>
    </w:p>
    <w:p>
      <w:pPr>
        <w:spacing w:after="0" w:line="115" w:lineRule="exact"/>
        <w:rPr>
          <w:sz w:val="20"/>
          <w:szCs w:val="20"/>
          <w:color w:val="auto"/>
        </w:rPr>
      </w:pPr>
    </w:p>
    <w:p>
      <w:pPr>
        <w:ind w:left="240" w:right="140" w:firstLine="438"/>
        <w:spacing w:after="0" w:line="257" w:lineRule="auto"/>
        <w:rPr>
          <w:sz w:val="20"/>
          <w:szCs w:val="20"/>
          <w:color w:val="auto"/>
        </w:rPr>
      </w:pPr>
      <w:r>
        <w:rPr>
          <w:rFonts w:ascii="Arial" w:cs="Arial" w:eastAsia="Arial" w:hAnsi="Arial"/>
          <w:sz w:val="18"/>
          <w:szCs w:val="18"/>
          <w:color w:val="auto"/>
        </w:rPr>
        <w:t>Transfers of financial assets and financial liabilities at fair value to or from Levels 1 and 2 arise where the market for a specific financial instrument has become active or inactive during the period. The fair values transferred are ascribed as if the financial assets or financial liabilities had been transferred as of the end of the period. During the years ended December 31, 2017 and 2016, there were no transfers between levels for financial assets and liabilities, at fair value.</w:t>
      </w:r>
    </w:p>
    <w:p>
      <w:pPr>
        <w:spacing w:after="0" w:line="1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240" w:top="458" w:right="5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5200" w:hanging="444"/>
        <w:spacing w:after="0" w:line="406" w:lineRule="auto"/>
        <w:tabs>
          <w:tab w:leader="none" w:pos="672"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ASSETS AND FINANCIAL LIABILITIES (Continued) </w:t>
      </w:r>
      <w:r>
        <w:rPr>
          <w:rFonts w:ascii="Arial" w:cs="Arial" w:eastAsia="Arial" w:hAnsi="Arial"/>
          <w:sz w:val="17"/>
          <w:szCs w:val="17"/>
          <w:b w:val="1"/>
          <w:bCs w:val="1"/>
          <w:i w:val="1"/>
          <w:iCs w:val="1"/>
          <w:color w:val="auto"/>
        </w:rPr>
        <w:t>Financial Assets and Liabilities Not Measured at Fair Value</w:t>
      </w:r>
    </w:p>
    <w:p>
      <w:pPr>
        <w:spacing w:after="0" w:line="1" w:lineRule="exact"/>
        <w:rPr>
          <w:sz w:val="20"/>
          <w:szCs w:val="20"/>
          <w:color w:val="auto"/>
        </w:rPr>
      </w:pPr>
    </w:p>
    <w:p>
      <w:pPr>
        <w:jc w:val="both"/>
        <w:ind w:left="240" w:right="60" w:firstLine="438"/>
        <w:spacing w:after="0" w:line="339" w:lineRule="auto"/>
        <w:rPr>
          <w:sz w:val="20"/>
          <w:szCs w:val="20"/>
          <w:color w:val="auto"/>
        </w:rPr>
      </w:pPr>
      <w:r>
        <w:rPr>
          <w:rFonts w:ascii="Arial" w:cs="Arial" w:eastAsia="Arial" w:hAnsi="Arial"/>
          <w:sz w:val="16"/>
          <w:szCs w:val="16"/>
          <w:color w:val="auto"/>
        </w:rPr>
        <w:t>The following tables represent the carrying value, fair value, and fair value hierarchy category of certain financial assets and liabilities that are not recorded at fair value in the Group’s consolidated statements of financial condition. The following table excludes all non-financial assets and liabilities:</w:t>
      </w:r>
    </w:p>
    <w:p>
      <w:pPr>
        <w:spacing w:after="0" w:line="143"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w w:val="99"/>
              </w:rPr>
              <w:t>As of December 31, 2017</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40" w:type="dxa"/>
            <w:vAlign w:val="bottom"/>
            <w:gridSpan w:val="4"/>
          </w:tcPr>
          <w:p>
            <w:pPr>
              <w:jc w:val="right"/>
              <w:ind w:right="44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980" w:type="dxa"/>
            <w:vAlign w:val="bottom"/>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Fair</w:t>
            </w:r>
          </w:p>
        </w:tc>
        <w:tc>
          <w:tcPr>
            <w:tcW w:w="10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10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Level 2</w:t>
            </w:r>
          </w:p>
        </w:tc>
        <w:tc>
          <w:tcPr>
            <w:tcW w:w="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Value</w:t>
            </w:r>
          </w:p>
        </w:tc>
        <w:tc>
          <w:tcPr>
            <w:tcW w:w="1060" w:type="dxa"/>
            <w:vAlign w:val="bottom"/>
            <w:gridSpan w:val="5"/>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8"/>
          </w:tcPr>
          <w:p>
            <w:pPr>
              <w:jc w:val="right"/>
              <w:ind w:right="820"/>
              <w:spacing w:after="0" w:line="141" w:lineRule="exact"/>
              <w:rPr>
                <w:sz w:val="20"/>
                <w:szCs w:val="20"/>
                <w:color w:val="auto"/>
              </w:rPr>
            </w:pPr>
            <w:r>
              <w:rPr>
                <w:rFonts w:ascii="Arial" w:cs="Arial" w:eastAsia="Arial" w:hAnsi="Arial"/>
                <w:sz w:val="14"/>
                <w:szCs w:val="14"/>
                <w:b w:val="1"/>
                <w:bCs w:val="1"/>
                <w:color w:val="auto"/>
              </w:rPr>
              <w:t>(HK$ in thousand)</w:t>
            </w: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not measured at fair value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4"/>
          </w:tcPr>
          <w:p>
            <w:pPr>
              <w:jc w:val="right"/>
              <w:ind w:right="80"/>
              <w:spacing w:after="0"/>
              <w:rPr>
                <w:sz w:val="20"/>
                <w:szCs w:val="20"/>
                <w:color w:val="auto"/>
              </w:rPr>
            </w:pPr>
            <w:r>
              <w:rPr>
                <w:rFonts w:ascii="Arial" w:cs="Arial" w:eastAsia="Arial" w:hAnsi="Arial"/>
                <w:sz w:val="18"/>
                <w:szCs w:val="18"/>
                <w:color w:val="auto"/>
              </w:rPr>
              <w:t>375,263</w:t>
            </w:r>
          </w:p>
        </w:tc>
        <w:tc>
          <w:tcPr>
            <w:tcW w:w="2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375,263</w:t>
            </w:r>
          </w:p>
        </w:tc>
        <w:tc>
          <w:tcPr>
            <w:tcW w:w="200" w:type="dxa"/>
            <w:vAlign w:val="bottom"/>
          </w:tcPr>
          <w:p>
            <w:pPr>
              <w:spacing w:after="0"/>
              <w:rPr>
                <w:sz w:val="18"/>
                <w:szCs w:val="18"/>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375,263</w:t>
            </w:r>
          </w:p>
        </w:tc>
        <w:tc>
          <w:tcPr>
            <w:tcW w:w="6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held on behalf of clients</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7,176,579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7,176,579</w:t>
            </w:r>
          </w:p>
        </w:tc>
        <w:tc>
          <w:tcPr>
            <w:tcW w:w="2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4"/>
              </w:rPr>
              <w:t>7,176,579</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340" w:type="dxa"/>
            <w:vAlign w:val="bottom"/>
            <w:gridSpan w:val="4"/>
          </w:tcPr>
          <w:p>
            <w:pPr>
              <w:jc w:val="right"/>
              <w:ind w:right="80"/>
              <w:spacing w:after="0"/>
              <w:rPr>
                <w:sz w:val="20"/>
                <w:szCs w:val="20"/>
                <w:color w:val="auto"/>
              </w:rPr>
            </w:pPr>
            <w:r>
              <w:rPr>
                <w:rFonts w:ascii="Arial" w:cs="Arial" w:eastAsia="Arial" w:hAnsi="Arial"/>
                <w:sz w:val="18"/>
                <w:szCs w:val="18"/>
                <w:color w:val="auto"/>
              </w:rPr>
              <w:t>6,541</w:t>
            </w:r>
          </w:p>
        </w:tc>
        <w:tc>
          <w:tcPr>
            <w:tcW w:w="2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6,541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6,541</w:t>
            </w:r>
          </w:p>
        </w:tc>
        <w:tc>
          <w:tcPr>
            <w:tcW w:w="40" w:type="dxa"/>
            <w:vAlign w:val="bottom"/>
          </w:tcPr>
          <w:p>
            <w:pPr>
              <w:spacing w:after="0"/>
              <w:rPr>
                <w:sz w:val="18"/>
                <w:szCs w:val="18"/>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Loans and advances</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2,907,967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2,907,967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2,907,967</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Receivables: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Clients</w:t>
            </w:r>
          </w:p>
        </w:tc>
        <w:tc>
          <w:tcPr>
            <w:tcW w:w="2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218,960</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218,960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218,960</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tcPr>
          <w:p>
            <w:pPr>
              <w:ind w:left="360"/>
              <w:spacing w:after="0"/>
              <w:rPr>
                <w:sz w:val="20"/>
                <w:szCs w:val="20"/>
                <w:color w:val="auto"/>
              </w:rPr>
            </w:pPr>
            <w:r>
              <w:rPr>
                <w:rFonts w:ascii="Arial" w:cs="Arial" w:eastAsia="Arial" w:hAnsi="Arial"/>
                <w:sz w:val="18"/>
                <w:szCs w:val="18"/>
                <w:color w:val="auto"/>
              </w:rPr>
              <w:t>Brokers</w:t>
            </w:r>
          </w:p>
        </w:tc>
        <w:tc>
          <w:tcPr>
            <w:tcW w:w="2340" w:type="dxa"/>
            <w:vAlign w:val="bottom"/>
            <w:gridSpan w:val="4"/>
          </w:tcPr>
          <w:p>
            <w:pPr>
              <w:jc w:val="right"/>
              <w:ind w:right="80"/>
              <w:spacing w:after="0"/>
              <w:rPr>
                <w:sz w:val="20"/>
                <w:szCs w:val="20"/>
                <w:color w:val="auto"/>
              </w:rPr>
            </w:pPr>
            <w:r>
              <w:rPr>
                <w:rFonts w:ascii="Arial" w:cs="Arial" w:eastAsia="Arial" w:hAnsi="Arial"/>
                <w:sz w:val="18"/>
                <w:szCs w:val="18"/>
                <w:color w:val="auto"/>
              </w:rPr>
              <w:t>106,078</w:t>
            </w:r>
          </w:p>
        </w:tc>
        <w:tc>
          <w:tcPr>
            <w:tcW w:w="2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106,078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106,078</w:t>
            </w:r>
          </w:p>
        </w:tc>
        <w:tc>
          <w:tcPr>
            <w:tcW w:w="40" w:type="dxa"/>
            <w:vAlign w:val="bottom"/>
          </w:tcPr>
          <w:p>
            <w:pPr>
              <w:spacing w:after="0"/>
              <w:rPr>
                <w:sz w:val="18"/>
                <w:szCs w:val="18"/>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Clearing organization</w:t>
            </w:r>
          </w:p>
        </w:tc>
        <w:tc>
          <w:tcPr>
            <w:tcW w:w="2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55,892</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55,892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55,892</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340" w:type="dxa"/>
            <w:vAlign w:val="bottom"/>
            <w:gridSpan w:val="4"/>
          </w:tcPr>
          <w:p>
            <w:pPr>
              <w:jc w:val="right"/>
              <w:ind w:right="80"/>
              <w:spacing w:after="0"/>
              <w:rPr>
                <w:sz w:val="20"/>
                <w:szCs w:val="20"/>
                <w:color w:val="auto"/>
              </w:rPr>
            </w:pPr>
            <w:r>
              <w:rPr>
                <w:rFonts w:ascii="Arial" w:cs="Arial" w:eastAsia="Arial" w:hAnsi="Arial"/>
                <w:sz w:val="18"/>
                <w:szCs w:val="18"/>
                <w:color w:val="auto"/>
              </w:rPr>
              <w:t>7,041</w:t>
            </w:r>
          </w:p>
        </w:tc>
        <w:tc>
          <w:tcPr>
            <w:tcW w:w="2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7,041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7,041</w:t>
            </w:r>
          </w:p>
        </w:tc>
        <w:tc>
          <w:tcPr>
            <w:tcW w:w="40" w:type="dxa"/>
            <w:vAlign w:val="bottom"/>
          </w:tcPr>
          <w:p>
            <w:pPr>
              <w:spacing w:after="0"/>
              <w:rPr>
                <w:sz w:val="18"/>
                <w:szCs w:val="18"/>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2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33,331</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33,331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33,331</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b w:val="1"/>
                <w:bCs w:val="1"/>
                <w:color w:val="auto"/>
              </w:rPr>
              <w:t>Total financial assets, not measured at fair value</w:t>
            </w:r>
          </w:p>
        </w:tc>
        <w:tc>
          <w:tcPr>
            <w:tcW w:w="14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10,887,652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10,887,652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7,551,842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3,335,810</w:t>
            </w:r>
          </w:p>
        </w:tc>
        <w:tc>
          <w:tcPr>
            <w:tcW w:w="2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w w:val="94"/>
              </w:rPr>
              <w:t>As of December 31, 2017</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6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98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Level 1</w:t>
            </w:r>
          </w:p>
        </w:tc>
        <w:tc>
          <w:tcPr>
            <w:tcW w:w="10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0"/>
                <w:szCs w:val="10"/>
                <w:color w:val="auto"/>
              </w:rPr>
            </w:pPr>
          </w:p>
        </w:tc>
        <w:tc>
          <w:tcPr>
            <w:tcW w:w="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4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7"/>
          </w:tcPr>
          <w:p>
            <w:pPr>
              <w:ind w:left="60"/>
              <w:spacing w:after="0" w:line="141" w:lineRule="exact"/>
              <w:rPr>
                <w:sz w:val="20"/>
                <w:szCs w:val="20"/>
                <w:color w:val="auto"/>
              </w:rPr>
            </w:pPr>
            <w:r>
              <w:rPr>
                <w:rFonts w:ascii="Arial" w:cs="Arial" w:eastAsia="Arial" w:hAnsi="Arial"/>
                <w:sz w:val="14"/>
                <w:szCs w:val="14"/>
                <w:b w:val="1"/>
                <w:bCs w:val="1"/>
                <w:color w:val="auto"/>
              </w:rPr>
              <w:t>(HK$ in thousand)</w:t>
            </w: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 not measured at fair value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540" w:type="dxa"/>
            <w:vAlign w:val="bottom"/>
            <w:gridSpan w:val="5"/>
          </w:tcPr>
          <w:p>
            <w:pPr>
              <w:jc w:val="right"/>
              <w:ind w:right="200"/>
              <w:spacing w:after="0"/>
              <w:rPr>
                <w:sz w:val="20"/>
                <w:szCs w:val="20"/>
                <w:color w:val="auto"/>
              </w:rPr>
            </w:pPr>
            <w:r>
              <w:rPr>
                <w:rFonts w:ascii="Arial" w:cs="Arial" w:eastAsia="Arial" w:hAnsi="Arial"/>
                <w:sz w:val="18"/>
                <w:szCs w:val="18"/>
                <w:color w:val="auto"/>
              </w:rPr>
              <w:t>14,687</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14,687</w:t>
            </w:r>
          </w:p>
        </w:tc>
        <w:tc>
          <w:tcPr>
            <w:tcW w:w="180" w:type="dxa"/>
            <w:vAlign w:val="bottom"/>
          </w:tcPr>
          <w:p>
            <w:pPr>
              <w:spacing w:after="0"/>
              <w:rPr>
                <w:sz w:val="18"/>
                <w:szCs w:val="18"/>
                <w:color w:val="auto"/>
              </w:rPr>
            </w:pPr>
          </w:p>
        </w:tc>
        <w:tc>
          <w:tcPr>
            <w:tcW w:w="88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14,687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Payables: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360"/>
              <w:spacing w:after="0"/>
              <w:rPr>
                <w:sz w:val="20"/>
                <w:szCs w:val="20"/>
                <w:color w:val="auto"/>
              </w:rPr>
            </w:pPr>
            <w:r>
              <w:rPr>
                <w:rFonts w:ascii="Arial" w:cs="Arial" w:eastAsia="Arial" w:hAnsi="Arial"/>
                <w:sz w:val="18"/>
                <w:szCs w:val="18"/>
                <w:color w:val="auto"/>
              </w:rPr>
              <w:t>Clients</w:t>
            </w:r>
          </w:p>
        </w:tc>
        <w:tc>
          <w:tcPr>
            <w:tcW w:w="2540" w:type="dxa"/>
            <w:vAlign w:val="bottom"/>
            <w:gridSpan w:val="5"/>
          </w:tcPr>
          <w:p>
            <w:pPr>
              <w:jc w:val="right"/>
              <w:ind w:right="200"/>
              <w:spacing w:after="0"/>
              <w:rPr>
                <w:sz w:val="20"/>
                <w:szCs w:val="20"/>
                <w:color w:val="auto"/>
              </w:rPr>
            </w:pPr>
            <w:r>
              <w:rPr>
                <w:rFonts w:ascii="Arial" w:cs="Arial" w:eastAsia="Arial" w:hAnsi="Arial"/>
                <w:sz w:val="18"/>
                <w:szCs w:val="18"/>
                <w:color w:val="auto"/>
              </w:rPr>
              <w:t>7,340,823</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7,340,823</w:t>
            </w:r>
          </w:p>
        </w:tc>
        <w:tc>
          <w:tcPr>
            <w:tcW w:w="180" w:type="dxa"/>
            <w:vAlign w:val="bottom"/>
          </w:tcPr>
          <w:p>
            <w:pPr>
              <w:spacing w:after="0"/>
              <w:rPr>
                <w:sz w:val="18"/>
                <w:szCs w:val="18"/>
                <w:color w:val="auto"/>
              </w:rPr>
            </w:pPr>
          </w:p>
        </w:tc>
        <w:tc>
          <w:tcPr>
            <w:tcW w:w="88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7,340,823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Brokers</w:t>
            </w:r>
          </w:p>
        </w:tc>
        <w:tc>
          <w:tcPr>
            <w:tcW w:w="25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929,692</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929,692</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929,692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tcPr>
          <w:p>
            <w:pPr>
              <w:ind w:left="360"/>
              <w:spacing w:after="0"/>
              <w:rPr>
                <w:sz w:val="20"/>
                <w:szCs w:val="20"/>
                <w:color w:val="auto"/>
              </w:rPr>
            </w:pPr>
            <w:r>
              <w:rPr>
                <w:rFonts w:ascii="Arial" w:cs="Arial" w:eastAsia="Arial" w:hAnsi="Arial"/>
                <w:sz w:val="18"/>
                <w:szCs w:val="18"/>
                <w:color w:val="auto"/>
              </w:rPr>
              <w:t>Clearing organization</w:t>
            </w:r>
          </w:p>
        </w:tc>
        <w:tc>
          <w:tcPr>
            <w:tcW w:w="2540" w:type="dxa"/>
            <w:vAlign w:val="bottom"/>
            <w:gridSpan w:val="5"/>
          </w:tcPr>
          <w:p>
            <w:pPr>
              <w:jc w:val="right"/>
              <w:ind w:right="200"/>
              <w:spacing w:after="0"/>
              <w:rPr>
                <w:sz w:val="20"/>
                <w:szCs w:val="20"/>
                <w:color w:val="auto"/>
              </w:rPr>
            </w:pPr>
            <w:r>
              <w:rPr>
                <w:rFonts w:ascii="Arial" w:cs="Arial" w:eastAsia="Arial" w:hAnsi="Arial"/>
                <w:sz w:val="18"/>
                <w:szCs w:val="18"/>
                <w:color w:val="auto"/>
              </w:rPr>
              <w:t>82,878</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82,878</w:t>
            </w:r>
          </w:p>
        </w:tc>
        <w:tc>
          <w:tcPr>
            <w:tcW w:w="180" w:type="dxa"/>
            <w:vAlign w:val="bottom"/>
          </w:tcPr>
          <w:p>
            <w:pPr>
              <w:spacing w:after="0"/>
              <w:rPr>
                <w:sz w:val="18"/>
                <w:szCs w:val="18"/>
                <w:color w:val="auto"/>
              </w:rPr>
            </w:pPr>
          </w:p>
        </w:tc>
        <w:tc>
          <w:tcPr>
            <w:tcW w:w="88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82,878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5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2,066</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2,066</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Short-term borrowings</w:t>
            </w:r>
          </w:p>
        </w:tc>
        <w:tc>
          <w:tcPr>
            <w:tcW w:w="2540" w:type="dxa"/>
            <w:vAlign w:val="bottom"/>
            <w:gridSpan w:val="5"/>
          </w:tcPr>
          <w:p>
            <w:pPr>
              <w:jc w:val="right"/>
              <w:ind w:right="200"/>
              <w:spacing w:after="0"/>
              <w:rPr>
                <w:sz w:val="20"/>
                <w:szCs w:val="20"/>
                <w:color w:val="auto"/>
              </w:rPr>
            </w:pPr>
            <w:r>
              <w:rPr>
                <w:rFonts w:ascii="Arial" w:cs="Arial" w:eastAsia="Arial" w:hAnsi="Arial"/>
                <w:sz w:val="18"/>
                <w:szCs w:val="18"/>
                <w:color w:val="auto"/>
              </w:rPr>
              <w:t>1,542,448</w:t>
            </w: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1,542,448</w:t>
            </w:r>
          </w:p>
        </w:tc>
        <w:tc>
          <w:tcPr>
            <w:tcW w:w="180" w:type="dxa"/>
            <w:vAlign w:val="bottom"/>
          </w:tcPr>
          <w:p>
            <w:pPr>
              <w:spacing w:after="0"/>
              <w:rPr>
                <w:sz w:val="18"/>
                <w:szCs w:val="18"/>
                <w:color w:val="auto"/>
              </w:rPr>
            </w:pPr>
          </w:p>
        </w:tc>
        <w:tc>
          <w:tcPr>
            <w:tcW w:w="88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1,542,448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w:t>
            </w:r>
          </w:p>
        </w:tc>
        <w:tc>
          <w:tcPr>
            <w:tcW w:w="25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10,832</w:t>
            </w: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10,832</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b w:val="1"/>
                <w:bCs w:val="1"/>
                <w:color w:val="auto"/>
              </w:rPr>
              <w:t>Total financial liabilities, not measured at fair value</w:t>
            </w:r>
          </w:p>
        </w:tc>
        <w:tc>
          <w:tcPr>
            <w:tcW w:w="1560" w:type="dxa"/>
            <w:vAlign w:val="bottom"/>
            <w:gridSpan w:val="2"/>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9,923,426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9,923,426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9,923,426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20" w:type="dxa"/>
            <w:vAlign w:val="bottom"/>
          </w:tcPr>
          <w:p>
            <w:pPr>
              <w:spacing w:after="0"/>
              <w:rPr>
                <w:sz w:val="24"/>
                <w:szCs w:val="24"/>
                <w:color w:val="auto"/>
              </w:rPr>
            </w:pPr>
          </w:p>
        </w:tc>
        <w:tc>
          <w:tcPr>
            <w:tcW w:w="2540" w:type="dxa"/>
            <w:vAlign w:val="bottom"/>
            <w:gridSpan w:val="5"/>
          </w:tcPr>
          <w:p>
            <w:pPr>
              <w:ind w:left="680"/>
              <w:spacing w:after="0"/>
              <w:rPr>
                <w:sz w:val="20"/>
                <w:szCs w:val="20"/>
                <w:color w:val="auto"/>
              </w:rPr>
            </w:pPr>
            <w:r>
              <w:rPr>
                <w:rFonts w:ascii="Arial" w:cs="Arial" w:eastAsia="Arial" w:hAnsi="Arial"/>
                <w:sz w:val="18"/>
                <w:szCs w:val="18"/>
                <w:color w:val="auto"/>
              </w:rPr>
              <w:t>F-29</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7"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jc w:val="both"/>
        <w:ind w:left="680" w:right="5140" w:hanging="444"/>
        <w:spacing w:after="0" w:line="454" w:lineRule="auto"/>
        <w:tabs>
          <w:tab w:leader="none" w:pos="672" w:val="left"/>
        </w:tabs>
        <w:numPr>
          <w:ilvl w:val="0"/>
          <w:numId w:val="1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ASSETS AND FINANCIAL LIABILITIES (Continued) </w:t>
      </w:r>
      <w:r>
        <w:rPr>
          <w:rFonts w:ascii="Arial" w:cs="Arial" w:eastAsia="Arial" w:hAnsi="Arial"/>
          <w:sz w:val="15"/>
          <w:szCs w:val="15"/>
          <w:b w:val="1"/>
          <w:bCs w:val="1"/>
          <w:i w:val="1"/>
          <w:iCs w:val="1"/>
          <w:color w:val="auto"/>
        </w:rPr>
        <w:t>Financial Assets and Liabilities Not Measured at Fair Value (Continued)</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center"/>
              <w:ind w:left="396"/>
              <w:spacing w:after="0"/>
              <w:rPr>
                <w:sz w:val="20"/>
                <w:szCs w:val="20"/>
                <w:color w:val="auto"/>
              </w:rPr>
            </w:pPr>
            <w:r>
              <w:rPr>
                <w:rFonts w:ascii="Arial" w:cs="Arial" w:eastAsia="Arial" w:hAnsi="Arial"/>
                <w:sz w:val="14"/>
                <w:szCs w:val="14"/>
                <w:b w:val="1"/>
                <w:bCs w:val="1"/>
                <w:color w:val="auto"/>
                <w:w w:val="90"/>
              </w:rPr>
              <w:t>As of December 31, 2016</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106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8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0"/>
                <w:szCs w:val="10"/>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Level 2</w:t>
            </w: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7"/>
          </w:tcPr>
          <w:p>
            <w:pPr>
              <w:jc w:val="center"/>
              <w:ind w:left="396"/>
              <w:spacing w:after="0" w:line="141" w:lineRule="exact"/>
              <w:rPr>
                <w:sz w:val="20"/>
                <w:szCs w:val="20"/>
                <w:color w:val="auto"/>
              </w:rPr>
            </w:pPr>
            <w:r>
              <w:rPr>
                <w:rFonts w:ascii="Arial" w:cs="Arial" w:eastAsia="Arial" w:hAnsi="Arial"/>
                <w:sz w:val="14"/>
                <w:szCs w:val="14"/>
                <w:b w:val="1"/>
                <w:bCs w:val="1"/>
                <w:color w:val="auto"/>
                <w:w w:val="94"/>
              </w:rPr>
              <w:t>(HK$ in thousand)</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not measured at fair value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5"/>
          </w:tcPr>
          <w:p>
            <w:pPr>
              <w:jc w:val="right"/>
              <w:ind w:right="260"/>
              <w:spacing w:after="0"/>
              <w:rPr>
                <w:sz w:val="20"/>
                <w:szCs w:val="20"/>
                <w:color w:val="auto"/>
              </w:rPr>
            </w:pPr>
            <w:r>
              <w:rPr>
                <w:rFonts w:ascii="Arial" w:cs="Arial" w:eastAsia="Arial" w:hAnsi="Arial"/>
                <w:sz w:val="18"/>
                <w:szCs w:val="18"/>
                <w:color w:val="auto"/>
              </w:rPr>
              <w:t>179,016</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179,016</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w w:val="86"/>
              </w:rPr>
              <w:t>179,016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held on behalf of clients</w:t>
            </w:r>
          </w:p>
        </w:tc>
        <w:tc>
          <w:tcPr>
            <w:tcW w:w="2760" w:type="dxa"/>
            <w:vAlign w:val="bottom"/>
            <w:tcBorders>
              <w:right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3,345,172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3,345,172</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3,345,172</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760" w:type="dxa"/>
            <w:vAlign w:val="bottom"/>
            <w:gridSpan w:val="5"/>
          </w:tcPr>
          <w:p>
            <w:pPr>
              <w:jc w:val="right"/>
              <w:ind w:right="260"/>
              <w:spacing w:after="0"/>
              <w:rPr>
                <w:sz w:val="20"/>
                <w:szCs w:val="20"/>
                <w:color w:val="auto"/>
              </w:rPr>
            </w:pPr>
            <w:r>
              <w:rPr>
                <w:rFonts w:ascii="Arial" w:cs="Arial" w:eastAsia="Arial" w:hAnsi="Arial"/>
                <w:sz w:val="18"/>
                <w:szCs w:val="18"/>
                <w:color w:val="auto"/>
              </w:rPr>
              <w:t>1,006</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1,006</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1,006</w:t>
            </w:r>
          </w:p>
        </w:tc>
        <w:tc>
          <w:tcPr>
            <w:tcW w:w="4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Loans and advances</w:t>
            </w:r>
          </w:p>
        </w:tc>
        <w:tc>
          <w:tcPr>
            <w:tcW w:w="2760" w:type="dxa"/>
            <w:vAlign w:val="bottom"/>
            <w:tcBorders>
              <w:right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126,163</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126,163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126,163</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Receivables: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Clients</w:t>
            </w:r>
          </w:p>
        </w:tc>
        <w:tc>
          <w:tcPr>
            <w:tcW w:w="2760" w:type="dxa"/>
            <w:vAlign w:val="bottom"/>
            <w:tcBorders>
              <w:right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792,480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792,480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792,480</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Brokers</w:t>
            </w:r>
          </w:p>
        </w:tc>
        <w:tc>
          <w:tcPr>
            <w:tcW w:w="2760" w:type="dxa"/>
            <w:vAlign w:val="bottom"/>
            <w:gridSpan w:val="5"/>
          </w:tcPr>
          <w:p>
            <w:pPr>
              <w:jc w:val="right"/>
              <w:ind w:right="260"/>
              <w:spacing w:after="0"/>
              <w:rPr>
                <w:sz w:val="20"/>
                <w:szCs w:val="20"/>
                <w:color w:val="auto"/>
              </w:rPr>
            </w:pPr>
            <w:r>
              <w:rPr>
                <w:rFonts w:ascii="Arial" w:cs="Arial" w:eastAsia="Arial" w:hAnsi="Arial"/>
                <w:sz w:val="18"/>
                <w:szCs w:val="18"/>
                <w:color w:val="auto"/>
              </w:rPr>
              <w:t>9,918</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9,918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9,918</w:t>
            </w:r>
          </w:p>
        </w:tc>
        <w:tc>
          <w:tcPr>
            <w:tcW w:w="4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Clearing organization</w:t>
            </w:r>
          </w:p>
        </w:tc>
        <w:tc>
          <w:tcPr>
            <w:tcW w:w="2760" w:type="dxa"/>
            <w:vAlign w:val="bottom"/>
            <w:tcBorders>
              <w:right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9,614</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9,614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9,614</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760" w:type="dxa"/>
            <w:vAlign w:val="bottom"/>
            <w:gridSpan w:val="5"/>
          </w:tcPr>
          <w:p>
            <w:pPr>
              <w:jc w:val="right"/>
              <w:ind w:right="260"/>
              <w:spacing w:after="0"/>
              <w:rPr>
                <w:sz w:val="20"/>
                <w:szCs w:val="20"/>
                <w:color w:val="auto"/>
              </w:rPr>
            </w:pPr>
            <w:r>
              <w:rPr>
                <w:rFonts w:ascii="Arial" w:cs="Arial" w:eastAsia="Arial" w:hAnsi="Arial"/>
                <w:sz w:val="18"/>
                <w:szCs w:val="18"/>
                <w:color w:val="auto"/>
              </w:rPr>
              <w:t>1,070</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1,070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1,070</w:t>
            </w:r>
          </w:p>
        </w:tc>
        <w:tc>
          <w:tcPr>
            <w:tcW w:w="4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2760" w:type="dxa"/>
            <w:vAlign w:val="bottom"/>
            <w:tcBorders>
              <w:right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15,460</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15,460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15,460</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financial assets, not measured at fair value</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4,479,899</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4,479,899</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3,524,188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955,711</w:t>
            </w:r>
          </w:p>
        </w:tc>
        <w:tc>
          <w:tcPr>
            <w:tcW w:w="2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jc w:val="center"/>
              <w:ind w:left="236"/>
              <w:spacing w:after="0"/>
              <w:rPr>
                <w:sz w:val="20"/>
                <w:szCs w:val="20"/>
                <w:color w:val="auto"/>
              </w:rPr>
            </w:pPr>
            <w:r>
              <w:rPr>
                <w:rFonts w:ascii="Arial" w:cs="Arial" w:eastAsia="Arial" w:hAnsi="Arial"/>
                <w:sz w:val="14"/>
                <w:szCs w:val="14"/>
                <w:b w:val="1"/>
                <w:bCs w:val="1"/>
                <w:color w:val="auto"/>
                <w:w w:val="90"/>
              </w:rPr>
              <w:t>As of December 31, 2016</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0" w:type="dxa"/>
            <w:vAlign w:val="bottom"/>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rPr>
              <w:t>Carrying</w:t>
            </w:r>
          </w:p>
        </w:tc>
        <w:tc>
          <w:tcPr>
            <w:tcW w:w="1060" w:type="dxa"/>
            <w:vAlign w:val="bottom"/>
            <w:gridSpan w:val="3"/>
          </w:tcPr>
          <w:p>
            <w:pPr>
              <w:ind w:left="20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1</w:t>
            </w:r>
          </w:p>
        </w:tc>
        <w:tc>
          <w:tcPr>
            <w:tcW w:w="106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0"/>
                <w:szCs w:val="10"/>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1060" w:type="dxa"/>
            <w:vAlign w:val="bottom"/>
            <w:gridSpan w:val="3"/>
          </w:tcPr>
          <w:p>
            <w:pPr>
              <w:ind w:left="16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7"/>
          </w:tcPr>
          <w:p>
            <w:pPr>
              <w:jc w:val="center"/>
              <w:ind w:left="236"/>
              <w:spacing w:after="0" w:line="141" w:lineRule="exact"/>
              <w:rPr>
                <w:sz w:val="20"/>
                <w:szCs w:val="20"/>
                <w:color w:val="auto"/>
              </w:rPr>
            </w:pPr>
            <w:r>
              <w:rPr>
                <w:rFonts w:ascii="Arial" w:cs="Arial" w:eastAsia="Arial" w:hAnsi="Arial"/>
                <w:sz w:val="14"/>
                <w:szCs w:val="14"/>
                <w:b w:val="1"/>
                <w:bCs w:val="1"/>
                <w:color w:val="auto"/>
                <w:w w:val="94"/>
              </w:rPr>
              <w:t>(HK$ in thousand)</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 not measured at fair value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500" w:type="dxa"/>
            <w:vAlign w:val="bottom"/>
            <w:gridSpan w:val="4"/>
          </w:tcPr>
          <w:p>
            <w:pPr>
              <w:jc w:val="right"/>
              <w:ind w:right="160"/>
              <w:spacing w:after="0"/>
              <w:rPr>
                <w:sz w:val="20"/>
                <w:szCs w:val="20"/>
                <w:color w:val="auto"/>
              </w:rPr>
            </w:pPr>
            <w:r>
              <w:rPr>
                <w:rFonts w:ascii="Arial" w:cs="Arial" w:eastAsia="Arial" w:hAnsi="Arial"/>
                <w:sz w:val="18"/>
                <w:szCs w:val="18"/>
                <w:color w:val="auto"/>
              </w:rPr>
              <w:t>6,479</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6,479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6,479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Payables: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Clients</w:t>
            </w:r>
          </w:p>
        </w:tc>
        <w:tc>
          <w:tcPr>
            <w:tcW w:w="2500" w:type="dxa"/>
            <w:vAlign w:val="bottom"/>
            <w:gridSpan w:val="4"/>
          </w:tcPr>
          <w:p>
            <w:pPr>
              <w:jc w:val="right"/>
              <w:ind w:right="160"/>
              <w:spacing w:after="0"/>
              <w:rPr>
                <w:sz w:val="20"/>
                <w:szCs w:val="20"/>
                <w:color w:val="auto"/>
              </w:rPr>
            </w:pPr>
            <w:r>
              <w:rPr>
                <w:rFonts w:ascii="Arial" w:cs="Arial" w:eastAsia="Arial" w:hAnsi="Arial"/>
                <w:sz w:val="18"/>
                <w:szCs w:val="18"/>
                <w:color w:val="auto"/>
              </w:rPr>
              <w:t>4,107,782</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4,107,782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4,107,782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Brokers</w:t>
            </w:r>
          </w:p>
        </w:tc>
        <w:tc>
          <w:tcPr>
            <w:tcW w:w="2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31,446</w:t>
            </w: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31,446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31,446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Clearing organization</w:t>
            </w:r>
          </w:p>
        </w:tc>
        <w:tc>
          <w:tcPr>
            <w:tcW w:w="2500" w:type="dxa"/>
            <w:vAlign w:val="bottom"/>
            <w:gridSpan w:val="4"/>
          </w:tcPr>
          <w:p>
            <w:pPr>
              <w:jc w:val="right"/>
              <w:ind w:right="160"/>
              <w:spacing w:after="0"/>
              <w:rPr>
                <w:sz w:val="20"/>
                <w:szCs w:val="20"/>
                <w:color w:val="auto"/>
              </w:rPr>
            </w:pPr>
            <w:r>
              <w:rPr>
                <w:rFonts w:ascii="Arial" w:cs="Arial" w:eastAsia="Arial" w:hAnsi="Arial"/>
                <w:sz w:val="18"/>
                <w:szCs w:val="18"/>
                <w:color w:val="auto"/>
              </w:rPr>
              <w:t>10,441</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10,441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10,441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2,481</w:t>
            </w: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2,481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Short-term borrowings</w:t>
            </w:r>
          </w:p>
        </w:tc>
        <w:tc>
          <w:tcPr>
            <w:tcW w:w="2500" w:type="dxa"/>
            <w:vAlign w:val="bottom"/>
            <w:gridSpan w:val="4"/>
          </w:tcPr>
          <w:p>
            <w:pPr>
              <w:jc w:val="right"/>
              <w:ind w:right="160"/>
              <w:spacing w:after="0"/>
              <w:rPr>
                <w:sz w:val="20"/>
                <w:szCs w:val="20"/>
                <w:color w:val="auto"/>
              </w:rPr>
            </w:pPr>
            <w:r>
              <w:rPr>
                <w:rFonts w:ascii="Arial" w:cs="Arial" w:eastAsia="Arial" w:hAnsi="Arial"/>
                <w:sz w:val="18"/>
                <w:szCs w:val="18"/>
                <w:color w:val="auto"/>
              </w:rPr>
              <w:t>161,179</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161,179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161,179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32,030</w:t>
            </w: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32,030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32,030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financial liabilities</w:t>
            </w:r>
          </w:p>
        </w:tc>
        <w:tc>
          <w:tcPr>
            <w:tcW w:w="15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6,843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6,843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6,843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 not measured at fair value</w:t>
            </w:r>
          </w:p>
        </w:tc>
        <w:tc>
          <w:tcPr>
            <w:tcW w:w="1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4,358,681</w:t>
            </w: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4,358,681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4,358,681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760" w:type="dxa"/>
            <w:vAlign w:val="bottom"/>
            <w:gridSpan w:val="5"/>
          </w:tcPr>
          <w:p>
            <w:pPr>
              <w:ind w:left="680"/>
              <w:spacing w:after="0"/>
              <w:rPr>
                <w:sz w:val="20"/>
                <w:szCs w:val="20"/>
                <w:color w:val="auto"/>
              </w:rPr>
            </w:pPr>
            <w:r>
              <w:rPr>
                <w:rFonts w:ascii="Arial" w:cs="Arial" w:eastAsia="Arial" w:hAnsi="Arial"/>
                <w:sz w:val="18"/>
                <w:szCs w:val="18"/>
                <w:color w:val="auto"/>
              </w:rPr>
              <w:t>F-30</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7"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5200" w:hanging="444"/>
        <w:spacing w:after="0" w:line="406" w:lineRule="auto"/>
        <w:tabs>
          <w:tab w:leader="none" w:pos="672"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ASSETS AND FINANCIAL LIABILITIES (Continued) </w:t>
      </w:r>
      <w:r>
        <w:rPr>
          <w:rFonts w:ascii="Arial" w:cs="Arial" w:eastAsia="Arial" w:hAnsi="Arial"/>
          <w:sz w:val="17"/>
          <w:szCs w:val="17"/>
          <w:b w:val="1"/>
          <w:bCs w:val="1"/>
          <w:i w:val="1"/>
          <w:iCs w:val="1"/>
          <w:color w:val="auto"/>
        </w:rPr>
        <w:t>Netting of Financial Assets and Financial Liabilities</w:t>
      </w:r>
    </w:p>
    <w:p>
      <w:pPr>
        <w:spacing w:after="0" w:line="1" w:lineRule="exact"/>
        <w:rPr>
          <w:sz w:val="20"/>
          <w:szCs w:val="20"/>
          <w:color w:val="auto"/>
        </w:rPr>
      </w:pPr>
    </w:p>
    <w:p>
      <w:pPr>
        <w:ind w:left="240" w:right="140" w:firstLine="438"/>
        <w:spacing w:after="0" w:line="257" w:lineRule="auto"/>
        <w:rPr>
          <w:sz w:val="20"/>
          <w:szCs w:val="20"/>
          <w:color w:val="auto"/>
        </w:rPr>
      </w:pPr>
      <w:r>
        <w:rPr>
          <w:rFonts w:ascii="Arial" w:cs="Arial" w:eastAsia="Arial" w:hAnsi="Arial"/>
          <w:sz w:val="18"/>
          <w:szCs w:val="18"/>
          <w:color w:val="auto"/>
        </w:rPr>
        <w:t>In the tables below, the amounts of financial instruments that are not offset in the consolidated balance sheets, but could be netted against cash or financial instruments with specific counterparties under master netting agreements, according to the terms of the agreements, including clearing organization, are presented to provide financial statement readers with the Group’s net payable or receivable with counterparties for these financial instruments, as of December 31, 2017 and 2016.</w:t>
      </w:r>
    </w:p>
    <w:p>
      <w:pPr>
        <w:spacing w:after="0" w:line="206"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jc w:val="right"/>
              <w:ind w:right="384"/>
              <w:spacing w:after="0"/>
              <w:rPr>
                <w:sz w:val="20"/>
                <w:szCs w:val="20"/>
                <w:color w:val="auto"/>
              </w:rPr>
            </w:pPr>
            <w:r>
              <w:rPr>
                <w:rFonts w:ascii="Arial" w:cs="Arial" w:eastAsia="Arial" w:hAnsi="Arial"/>
                <w:sz w:val="14"/>
                <w:szCs w:val="14"/>
                <w:b w:val="1"/>
                <w:bCs w:val="1"/>
                <w:color w:val="auto"/>
                <w:w w:val="89"/>
              </w:rPr>
              <w:t>Effects of offsetting on the balance sheet</w:t>
            </w:r>
          </w:p>
        </w:tc>
        <w:tc>
          <w:tcPr>
            <w:tcW w:w="30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0"/>
              </w:rPr>
              <w:t>Related amounts not offset</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right="386"/>
              <w:spacing w:after="0" w:line="119" w:lineRule="exact"/>
              <w:rPr>
                <w:sz w:val="20"/>
                <w:szCs w:val="20"/>
                <w:color w:val="auto"/>
              </w:rPr>
            </w:pPr>
            <w:r>
              <w:rPr>
                <w:rFonts w:ascii="Arial" w:cs="Arial" w:eastAsia="Arial" w:hAnsi="Arial"/>
                <w:sz w:val="13"/>
                <w:szCs w:val="13"/>
                <w:b w:val="1"/>
                <w:bCs w:val="1"/>
                <w:color w:val="auto"/>
                <w:w w:val="95"/>
              </w:rPr>
              <w:t>Gross</w:t>
            </w:r>
          </w:p>
        </w:tc>
        <w:tc>
          <w:tcPr>
            <w:tcW w:w="122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91"/>
              </w:rPr>
              <w:t>Net amounts</w:t>
            </w:r>
          </w:p>
        </w:tc>
        <w:tc>
          <w:tcPr>
            <w:tcW w:w="1200" w:type="dxa"/>
            <w:vAlign w:val="bottom"/>
            <w:gridSpan w:val="2"/>
          </w:tcPr>
          <w:p>
            <w:pPr>
              <w:jc w:val="center"/>
              <w:ind w:right="264"/>
              <w:spacing w:after="0" w:line="119" w:lineRule="exact"/>
              <w:rPr>
                <w:sz w:val="20"/>
                <w:szCs w:val="20"/>
                <w:color w:val="auto"/>
              </w:rPr>
            </w:pPr>
            <w:r>
              <w:rPr>
                <w:rFonts w:ascii="Arial" w:cs="Arial" w:eastAsia="Arial" w:hAnsi="Arial"/>
                <w:sz w:val="13"/>
                <w:szCs w:val="13"/>
                <w:b w:val="1"/>
                <w:bCs w:val="1"/>
                <w:color w:val="auto"/>
                <w:w w:val="95"/>
              </w:rPr>
              <w:t>Amounts</w:t>
            </w:r>
          </w:p>
        </w:tc>
        <w:tc>
          <w:tcPr>
            <w:tcW w:w="1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386"/>
              <w:spacing w:after="0" w:line="148" w:lineRule="exact"/>
              <w:rPr>
                <w:sz w:val="20"/>
                <w:szCs w:val="20"/>
                <w:color w:val="auto"/>
              </w:rPr>
            </w:pPr>
            <w:r>
              <w:rPr>
                <w:rFonts w:ascii="Arial" w:cs="Arial" w:eastAsia="Arial" w:hAnsi="Arial"/>
                <w:sz w:val="14"/>
                <w:szCs w:val="14"/>
                <w:b w:val="1"/>
                <w:bCs w:val="1"/>
                <w:color w:val="auto"/>
                <w:w w:val="89"/>
              </w:rPr>
              <w:t>amounts</w:t>
            </w:r>
          </w:p>
        </w:tc>
        <w:tc>
          <w:tcPr>
            <w:tcW w:w="1220" w:type="dxa"/>
            <w:vAlign w:val="bottom"/>
            <w:gridSpan w:val="5"/>
            <w:vMerge w:val="continue"/>
          </w:tcPr>
          <w:p>
            <w:pPr>
              <w:spacing w:after="0"/>
              <w:rPr>
                <w:sz w:val="12"/>
                <w:szCs w:val="12"/>
                <w:color w:val="auto"/>
              </w:rPr>
            </w:pPr>
          </w:p>
        </w:tc>
        <w:tc>
          <w:tcPr>
            <w:tcW w:w="1200" w:type="dxa"/>
            <w:vAlign w:val="bottom"/>
            <w:gridSpan w:val="2"/>
          </w:tcPr>
          <w:p>
            <w:pPr>
              <w:jc w:val="center"/>
              <w:ind w:right="264"/>
              <w:spacing w:after="0" w:line="148" w:lineRule="exact"/>
              <w:rPr>
                <w:sz w:val="20"/>
                <w:szCs w:val="20"/>
                <w:color w:val="auto"/>
              </w:rPr>
            </w:pPr>
            <w:r>
              <w:rPr>
                <w:rFonts w:ascii="Arial" w:cs="Arial" w:eastAsia="Arial" w:hAnsi="Arial"/>
                <w:sz w:val="14"/>
                <w:szCs w:val="14"/>
                <w:b w:val="1"/>
                <w:bCs w:val="1"/>
                <w:color w:val="auto"/>
                <w:w w:val="87"/>
              </w:rPr>
              <w:t>subject to</w:t>
            </w:r>
          </w:p>
        </w:tc>
        <w:tc>
          <w:tcPr>
            <w:tcW w:w="1260" w:type="dxa"/>
            <w:vAlign w:val="bottom"/>
            <w:vMerge w:val="restart"/>
          </w:tcPr>
          <w:p>
            <w:pPr>
              <w:jc w:val="center"/>
              <w:ind w:right="363"/>
              <w:spacing w:after="0"/>
              <w:rPr>
                <w:sz w:val="20"/>
                <w:szCs w:val="20"/>
                <w:color w:val="auto"/>
              </w:rPr>
            </w:pPr>
            <w:r>
              <w:rPr>
                <w:rFonts w:ascii="Arial" w:cs="Arial" w:eastAsia="Arial" w:hAnsi="Arial"/>
                <w:sz w:val="14"/>
                <w:szCs w:val="14"/>
                <w:b w:val="1"/>
                <w:bCs w:val="1"/>
                <w:color w:val="auto"/>
                <w:w w:val="95"/>
              </w:rPr>
              <w:t>Financial</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360" w:type="dxa"/>
            <w:vAlign w:val="bottom"/>
            <w:gridSpan w:val="2"/>
            <w:vMerge w:val="restart"/>
          </w:tcPr>
          <w:p>
            <w:pPr>
              <w:jc w:val="right"/>
              <w:ind w:right="628"/>
              <w:spacing w:after="0"/>
              <w:rPr>
                <w:sz w:val="20"/>
                <w:szCs w:val="20"/>
                <w:color w:val="auto"/>
              </w:rPr>
            </w:pPr>
            <w:r>
              <w:rPr>
                <w:rFonts w:ascii="Arial" w:cs="Arial" w:eastAsia="Arial" w:hAnsi="Arial"/>
                <w:sz w:val="14"/>
                <w:szCs w:val="14"/>
                <w:b w:val="1"/>
                <w:bCs w:val="1"/>
                <w:color w:val="auto"/>
              </w:rPr>
              <w:t>Gross</w:t>
            </w:r>
          </w:p>
        </w:tc>
        <w:tc>
          <w:tcPr>
            <w:tcW w:w="1140" w:type="dxa"/>
            <w:vAlign w:val="bottom"/>
            <w:gridSpan w:val="2"/>
          </w:tcPr>
          <w:p>
            <w:pPr>
              <w:jc w:val="center"/>
              <w:ind w:right="306"/>
              <w:spacing w:after="0" w:line="148" w:lineRule="exact"/>
              <w:rPr>
                <w:sz w:val="20"/>
                <w:szCs w:val="20"/>
                <w:color w:val="auto"/>
              </w:rPr>
            </w:pPr>
            <w:r>
              <w:rPr>
                <w:rFonts w:ascii="Arial" w:cs="Arial" w:eastAsia="Arial" w:hAnsi="Arial"/>
                <w:sz w:val="14"/>
                <w:szCs w:val="14"/>
                <w:b w:val="1"/>
                <w:bCs w:val="1"/>
                <w:color w:val="auto"/>
                <w:w w:val="91"/>
              </w:rPr>
              <w:t>set off in the</w:t>
            </w:r>
          </w:p>
        </w:tc>
        <w:tc>
          <w:tcPr>
            <w:tcW w:w="1220" w:type="dxa"/>
            <w:vAlign w:val="bottom"/>
            <w:gridSpan w:val="5"/>
          </w:tcPr>
          <w:p>
            <w:pPr>
              <w:jc w:val="center"/>
              <w:ind w:right="400"/>
              <w:spacing w:after="0" w:line="148" w:lineRule="exact"/>
              <w:rPr>
                <w:sz w:val="20"/>
                <w:szCs w:val="20"/>
                <w:color w:val="auto"/>
              </w:rPr>
            </w:pPr>
            <w:r>
              <w:rPr>
                <w:rFonts w:ascii="Arial" w:cs="Arial" w:eastAsia="Arial" w:hAnsi="Arial"/>
                <w:sz w:val="14"/>
                <w:szCs w:val="14"/>
                <w:b w:val="1"/>
                <w:bCs w:val="1"/>
                <w:color w:val="auto"/>
                <w:w w:val="88"/>
              </w:rPr>
              <w:t>presented in</w:t>
            </w:r>
          </w:p>
        </w:tc>
        <w:tc>
          <w:tcPr>
            <w:tcW w:w="1200" w:type="dxa"/>
            <w:vAlign w:val="bottom"/>
            <w:gridSpan w:val="2"/>
          </w:tcPr>
          <w:p>
            <w:pPr>
              <w:jc w:val="center"/>
              <w:ind w:right="264"/>
              <w:spacing w:after="0" w:line="148" w:lineRule="exact"/>
              <w:rPr>
                <w:sz w:val="20"/>
                <w:szCs w:val="20"/>
                <w:color w:val="auto"/>
              </w:rPr>
            </w:pPr>
            <w:r>
              <w:rPr>
                <w:rFonts w:ascii="Arial" w:cs="Arial" w:eastAsia="Arial" w:hAnsi="Arial"/>
                <w:sz w:val="14"/>
                <w:szCs w:val="14"/>
                <w:b w:val="1"/>
                <w:bCs w:val="1"/>
                <w:color w:val="auto"/>
                <w:w w:val="91"/>
              </w:rPr>
              <w:t>master</w:t>
            </w:r>
          </w:p>
        </w:tc>
        <w:tc>
          <w:tcPr>
            <w:tcW w:w="12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2017</w:t>
            </w: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406"/>
              <w:spacing w:after="0" w:line="148" w:lineRule="exact"/>
              <w:rPr>
                <w:sz w:val="20"/>
                <w:szCs w:val="20"/>
                <w:color w:val="auto"/>
              </w:rPr>
            </w:pPr>
            <w:r>
              <w:rPr>
                <w:rFonts w:ascii="Arial" w:cs="Arial" w:eastAsia="Arial" w:hAnsi="Arial"/>
                <w:sz w:val="14"/>
                <w:szCs w:val="14"/>
                <w:b w:val="1"/>
                <w:bCs w:val="1"/>
                <w:color w:val="auto"/>
                <w:w w:val="88"/>
              </w:rPr>
              <w:t>balance</w:t>
            </w:r>
          </w:p>
        </w:tc>
        <w:tc>
          <w:tcPr>
            <w:tcW w:w="60" w:type="dxa"/>
            <w:vAlign w:val="bottom"/>
          </w:tcPr>
          <w:p>
            <w:pPr>
              <w:spacing w:after="0"/>
              <w:rPr>
                <w:sz w:val="12"/>
                <w:szCs w:val="12"/>
                <w:color w:val="auto"/>
              </w:rPr>
            </w:pPr>
          </w:p>
        </w:tc>
        <w:tc>
          <w:tcPr>
            <w:tcW w:w="1160" w:type="dxa"/>
            <w:vAlign w:val="bottom"/>
            <w:gridSpan w:val="4"/>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the balance</w:t>
            </w:r>
          </w:p>
        </w:tc>
        <w:tc>
          <w:tcPr>
            <w:tcW w:w="1200" w:type="dxa"/>
            <w:vAlign w:val="bottom"/>
            <w:gridSpan w:val="2"/>
          </w:tcPr>
          <w:p>
            <w:pPr>
              <w:jc w:val="center"/>
              <w:ind w:right="264"/>
              <w:spacing w:after="0" w:line="148" w:lineRule="exact"/>
              <w:rPr>
                <w:sz w:val="20"/>
                <w:szCs w:val="20"/>
                <w:color w:val="auto"/>
              </w:rPr>
            </w:pPr>
            <w:r>
              <w:rPr>
                <w:rFonts w:ascii="Arial" w:cs="Arial" w:eastAsia="Arial" w:hAnsi="Arial"/>
                <w:sz w:val="14"/>
                <w:szCs w:val="14"/>
                <w:b w:val="1"/>
                <w:bCs w:val="1"/>
                <w:color w:val="auto"/>
                <w:w w:val="89"/>
              </w:rPr>
              <w:t>netting</w:t>
            </w:r>
          </w:p>
        </w:tc>
        <w:tc>
          <w:tcPr>
            <w:tcW w:w="1260" w:type="dxa"/>
            <w:vAlign w:val="bottom"/>
          </w:tcPr>
          <w:p>
            <w:pPr>
              <w:jc w:val="center"/>
              <w:ind w:right="383"/>
              <w:spacing w:after="0" w:line="148" w:lineRule="exact"/>
              <w:rPr>
                <w:sz w:val="20"/>
                <w:szCs w:val="20"/>
                <w:color w:val="auto"/>
              </w:rPr>
            </w:pPr>
            <w:r>
              <w:rPr>
                <w:rFonts w:ascii="Arial" w:cs="Arial" w:eastAsia="Arial" w:hAnsi="Arial"/>
                <w:sz w:val="14"/>
                <w:szCs w:val="14"/>
                <w:b w:val="1"/>
                <w:bCs w:val="1"/>
                <w:color w:val="auto"/>
                <w:w w:val="93"/>
              </w:rPr>
              <w:t>instrument</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36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4"/>
                <w:szCs w:val="14"/>
                <w:color w:val="auto"/>
              </w:rPr>
            </w:pPr>
          </w:p>
        </w:tc>
        <w:tc>
          <w:tcPr>
            <w:tcW w:w="1060" w:type="dxa"/>
            <w:vAlign w:val="bottom"/>
          </w:tcPr>
          <w:p>
            <w:pPr>
              <w:jc w:val="center"/>
              <w:ind w:right="406"/>
              <w:spacing w:after="0"/>
              <w:rPr>
                <w:sz w:val="20"/>
                <w:szCs w:val="20"/>
                <w:color w:val="auto"/>
              </w:rPr>
            </w:pPr>
            <w:r>
              <w:rPr>
                <w:rFonts w:ascii="Arial" w:cs="Arial" w:eastAsia="Arial" w:hAnsi="Arial"/>
                <w:sz w:val="14"/>
                <w:szCs w:val="14"/>
                <w:b w:val="1"/>
                <w:bCs w:val="1"/>
                <w:color w:val="auto"/>
                <w:w w:val="81"/>
              </w:rPr>
              <w:t>sheet</w:t>
            </w:r>
          </w:p>
        </w:tc>
        <w:tc>
          <w:tcPr>
            <w:tcW w:w="60" w:type="dxa"/>
            <w:vAlign w:val="bottom"/>
          </w:tcPr>
          <w:p>
            <w:pPr>
              <w:spacing w:after="0"/>
              <w:rPr>
                <w:sz w:val="14"/>
                <w:szCs w:val="14"/>
                <w:color w:val="auto"/>
              </w:rPr>
            </w:pPr>
          </w:p>
        </w:tc>
        <w:tc>
          <w:tcPr>
            <w:tcW w:w="11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1"/>
              </w:rPr>
              <w:t>sheet</w:t>
            </w:r>
          </w:p>
        </w:tc>
        <w:tc>
          <w:tcPr>
            <w:tcW w:w="1200" w:type="dxa"/>
            <w:vAlign w:val="bottom"/>
            <w:gridSpan w:val="2"/>
          </w:tcPr>
          <w:p>
            <w:pPr>
              <w:jc w:val="center"/>
              <w:ind w:right="264"/>
              <w:spacing w:after="0"/>
              <w:rPr>
                <w:sz w:val="20"/>
                <w:szCs w:val="20"/>
                <w:color w:val="auto"/>
              </w:rPr>
            </w:pPr>
            <w:r>
              <w:rPr>
                <w:rFonts w:ascii="Arial" w:cs="Arial" w:eastAsia="Arial" w:hAnsi="Arial"/>
                <w:sz w:val="14"/>
                <w:szCs w:val="14"/>
                <w:b w:val="1"/>
                <w:bCs w:val="1"/>
                <w:color w:val="auto"/>
                <w:w w:val="92"/>
              </w:rPr>
              <w:t>arrangements</w:t>
            </w:r>
          </w:p>
        </w:tc>
        <w:tc>
          <w:tcPr>
            <w:tcW w:w="1260" w:type="dxa"/>
            <w:vAlign w:val="bottom"/>
          </w:tcPr>
          <w:p>
            <w:pPr>
              <w:jc w:val="center"/>
              <w:ind w:right="363"/>
              <w:spacing w:after="0"/>
              <w:rPr>
                <w:sz w:val="20"/>
                <w:szCs w:val="20"/>
                <w:color w:val="auto"/>
              </w:rPr>
            </w:pPr>
            <w:r>
              <w:rPr>
                <w:rFonts w:ascii="Arial" w:cs="Arial" w:eastAsia="Arial" w:hAnsi="Arial"/>
                <w:sz w:val="14"/>
                <w:szCs w:val="14"/>
                <w:b w:val="1"/>
                <w:bCs w:val="1"/>
                <w:color w:val="auto"/>
                <w:w w:val="94"/>
              </w:rPr>
              <w:t>collateral</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6"/>
          </w:tcPr>
          <w:p>
            <w:pPr>
              <w:ind w:left="420"/>
              <w:spacing w:after="0" w:line="141" w:lineRule="exact"/>
              <w:rPr>
                <w:sz w:val="20"/>
                <w:szCs w:val="20"/>
                <w:color w:val="auto"/>
              </w:rPr>
            </w:pPr>
            <w:r>
              <w:rPr>
                <w:rFonts w:ascii="Arial" w:cs="Arial" w:eastAsia="Arial" w:hAnsi="Arial"/>
                <w:sz w:val="14"/>
                <w:szCs w:val="14"/>
                <w:b w:val="1"/>
                <w:bCs w:val="1"/>
                <w:color w:val="auto"/>
              </w:rPr>
              <w:t>HK$ in thousand</w:t>
            </w:r>
          </w:p>
        </w:tc>
        <w:tc>
          <w:tcPr>
            <w:tcW w:w="1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6"/>
                <w:szCs w:val="16"/>
                <w:color w:val="auto"/>
              </w:rPr>
              <w:t>Amounts due from clearing organization</w:t>
            </w:r>
          </w:p>
        </w:tc>
        <w:tc>
          <w:tcPr>
            <w:tcW w:w="1360" w:type="dxa"/>
            <w:vAlign w:val="bottom"/>
            <w:gridSpan w:val="2"/>
          </w:tcPr>
          <w:p>
            <w:pPr>
              <w:jc w:val="right"/>
              <w:ind w:right="268"/>
              <w:spacing w:after="0"/>
              <w:rPr>
                <w:sz w:val="20"/>
                <w:szCs w:val="20"/>
                <w:color w:val="auto"/>
              </w:rPr>
            </w:pPr>
            <w:r>
              <w:rPr>
                <w:rFonts w:ascii="Arial" w:cs="Arial" w:eastAsia="Arial" w:hAnsi="Arial"/>
                <w:sz w:val="16"/>
                <w:szCs w:val="16"/>
                <w:color w:val="auto"/>
              </w:rPr>
              <w:t>(849,116,972)</w:t>
            </w:r>
          </w:p>
        </w:tc>
        <w:tc>
          <w:tcPr>
            <w:tcW w:w="1140" w:type="dxa"/>
            <w:vAlign w:val="bottom"/>
            <w:gridSpan w:val="2"/>
          </w:tcPr>
          <w:p>
            <w:pPr>
              <w:jc w:val="right"/>
              <w:ind w:right="226"/>
              <w:spacing w:after="0"/>
              <w:rPr>
                <w:sz w:val="20"/>
                <w:szCs w:val="20"/>
                <w:color w:val="auto"/>
              </w:rPr>
            </w:pPr>
            <w:r>
              <w:rPr>
                <w:rFonts w:ascii="Arial" w:cs="Arial" w:eastAsia="Arial" w:hAnsi="Arial"/>
                <w:sz w:val="16"/>
                <w:szCs w:val="16"/>
                <w:color w:val="auto"/>
                <w:w w:val="92"/>
              </w:rPr>
              <w:t>905,009,134</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55,892,162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ind w:left="420"/>
              <w:spacing w:after="0"/>
              <w:rPr>
                <w:sz w:val="20"/>
                <w:szCs w:val="20"/>
                <w:color w:val="auto"/>
              </w:rPr>
            </w:pPr>
            <w:r>
              <w:rPr>
                <w:rFonts w:ascii="Arial" w:cs="Arial" w:eastAsia="Arial" w:hAnsi="Arial"/>
                <w:sz w:val="16"/>
                <w:szCs w:val="16"/>
                <w:color w:val="auto"/>
              </w:rPr>
              <w:t>—</w:t>
            </w:r>
          </w:p>
        </w:tc>
        <w:tc>
          <w:tcPr>
            <w:tcW w:w="1260" w:type="dxa"/>
            <w:vAlign w:val="bottom"/>
          </w:tcPr>
          <w:p>
            <w:pPr>
              <w:jc w:val="center"/>
              <w:ind w:left="63"/>
              <w:spacing w:after="0"/>
              <w:rPr>
                <w:sz w:val="20"/>
                <w:szCs w:val="20"/>
                <w:color w:val="auto"/>
              </w:rPr>
            </w:pPr>
            <w:r>
              <w:rPr>
                <w:rFonts w:ascii="Arial" w:cs="Arial" w:eastAsia="Arial" w:hAnsi="Arial"/>
                <w:sz w:val="16"/>
                <w:szCs w:val="16"/>
                <w:color w:val="auto"/>
                <w:w w:val="9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55,892,162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spacing w:after="0" w:line="201" w:lineRule="exact"/>
              <w:rPr>
                <w:sz w:val="20"/>
                <w:szCs w:val="20"/>
                <w:color w:val="auto"/>
              </w:rPr>
            </w:pPr>
            <w:r>
              <w:rPr>
                <w:rFonts w:ascii="Arial" w:cs="Arial" w:eastAsia="Arial" w:hAnsi="Arial"/>
                <w:sz w:val="14"/>
                <w:szCs w:val="14"/>
                <w:color w:val="auto"/>
              </w:rPr>
              <w:t>Deposit paid for securities borrowed</w:t>
            </w:r>
            <w:r>
              <w:rPr>
                <w:rFonts w:ascii="Arial" w:cs="Arial" w:eastAsia="Arial" w:hAnsi="Arial"/>
                <w:sz w:val="23"/>
                <w:szCs w:val="23"/>
                <w:color w:val="auto"/>
                <w:vertAlign w:val="superscript"/>
              </w:rPr>
              <w:t>(1)</w:t>
            </w:r>
          </w:p>
        </w:tc>
        <w:tc>
          <w:tcPr>
            <w:tcW w:w="1360" w:type="dxa"/>
            <w:vAlign w:val="bottom"/>
            <w:gridSpan w:val="2"/>
            <w:shd w:val="clear" w:color="auto" w:fill="CCEEFF"/>
          </w:tcPr>
          <w:p>
            <w:pPr>
              <w:jc w:val="right"/>
              <w:ind w:right="328"/>
              <w:spacing w:after="0"/>
              <w:rPr>
                <w:sz w:val="20"/>
                <w:szCs w:val="20"/>
                <w:color w:val="auto"/>
              </w:rPr>
            </w:pPr>
            <w:r>
              <w:rPr>
                <w:rFonts w:ascii="Arial" w:cs="Arial" w:eastAsia="Arial" w:hAnsi="Arial"/>
                <w:sz w:val="16"/>
                <w:szCs w:val="16"/>
                <w:color w:val="auto"/>
              </w:rPr>
              <w:t>96,346,685</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46"/>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96,346,685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w w:val="96"/>
              </w:rPr>
              <w:t>(73,725,999)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22,620,686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6"/>
                <w:szCs w:val="16"/>
                <w:b w:val="1"/>
                <w:bCs w:val="1"/>
                <w:color w:val="auto"/>
              </w:rPr>
              <w:t>Financial liabilities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Amounts due to clearing organizations</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6"/>
                <w:szCs w:val="16"/>
                <w:color w:val="auto"/>
              </w:rPr>
              <w:t>(989,228,533)</w:t>
            </w:r>
          </w:p>
        </w:tc>
        <w:tc>
          <w:tcPr>
            <w:tcW w:w="1140" w:type="dxa"/>
            <w:vAlign w:val="bottom"/>
            <w:gridSpan w:val="2"/>
            <w:shd w:val="clear" w:color="auto" w:fill="CCEEFF"/>
          </w:tcPr>
          <w:p>
            <w:pPr>
              <w:jc w:val="right"/>
              <w:ind w:right="226"/>
              <w:spacing w:after="0"/>
              <w:rPr>
                <w:sz w:val="20"/>
                <w:szCs w:val="20"/>
                <w:color w:val="auto"/>
              </w:rPr>
            </w:pPr>
            <w:r>
              <w:rPr>
                <w:rFonts w:ascii="Arial" w:cs="Arial" w:eastAsia="Arial" w:hAnsi="Arial"/>
                <w:sz w:val="16"/>
                <w:szCs w:val="16"/>
                <w:color w:val="auto"/>
                <w:w w:val="92"/>
              </w:rPr>
              <w:t>906,350,923</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2"/>
              </w:rPr>
              <w:t>(82,877,610)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center"/>
              <w:ind w:left="63"/>
              <w:spacing w:after="0"/>
              <w:rPr>
                <w:sz w:val="20"/>
                <w:szCs w:val="20"/>
                <w:color w:val="auto"/>
              </w:rPr>
            </w:pPr>
            <w:r>
              <w:rPr>
                <w:rFonts w:ascii="Arial" w:cs="Arial" w:eastAsia="Arial" w:hAnsi="Arial"/>
                <w:sz w:val="16"/>
                <w:szCs w:val="16"/>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(82,877,610)</w:t>
            </w:r>
          </w:p>
        </w:tc>
        <w:tc>
          <w:tcPr>
            <w:tcW w:w="0" w:type="dxa"/>
            <w:vAlign w:val="bottom"/>
          </w:tcPr>
          <w:p>
            <w:pPr>
              <w:spacing w:after="0"/>
              <w:rPr>
                <w:sz w:val="1"/>
                <w:szCs w:val="1"/>
                <w:color w:val="auto"/>
              </w:rPr>
            </w:pPr>
          </w:p>
        </w:tc>
      </w:tr>
      <w:tr>
        <w:trPr>
          <w:trHeight w:val="357"/>
        </w:trPr>
        <w:tc>
          <w:tcPr>
            <w:tcW w:w="3820" w:type="dxa"/>
            <w:vAlign w:val="bottom"/>
          </w:tcPr>
          <w:p>
            <w:pPr>
              <w:spacing w:after="0"/>
              <w:rPr>
                <w:sz w:val="20"/>
                <w:szCs w:val="20"/>
                <w:color w:val="auto"/>
              </w:rPr>
            </w:pPr>
            <w:r>
              <w:rPr>
                <w:rFonts w:ascii="Arial" w:cs="Arial" w:eastAsia="Arial" w:hAnsi="Arial"/>
                <w:sz w:val="16"/>
                <w:szCs w:val="16"/>
                <w:color w:val="auto"/>
              </w:rPr>
              <w:t>Deposit received for securities borrowed</w:t>
            </w:r>
            <w:r>
              <w:rPr>
                <w:rFonts w:ascii="Arial" w:cs="Arial" w:eastAsia="Arial" w:hAnsi="Arial"/>
                <w:sz w:val="27"/>
                <w:szCs w:val="27"/>
                <w:color w:val="auto"/>
                <w:vertAlign w:val="superscript"/>
              </w:rPr>
              <w:t>(1)</w:t>
            </w:r>
          </w:p>
        </w:tc>
        <w:tc>
          <w:tcPr>
            <w:tcW w:w="1360" w:type="dxa"/>
            <w:vAlign w:val="bottom"/>
            <w:gridSpan w:val="2"/>
          </w:tcPr>
          <w:p>
            <w:pPr>
              <w:jc w:val="right"/>
              <w:ind w:right="328"/>
              <w:spacing w:after="0"/>
              <w:rPr>
                <w:sz w:val="20"/>
                <w:szCs w:val="20"/>
                <w:color w:val="auto"/>
              </w:rPr>
            </w:pPr>
            <w:r>
              <w:rPr>
                <w:rFonts w:ascii="Arial" w:cs="Arial" w:eastAsia="Arial" w:hAnsi="Arial"/>
                <w:sz w:val="16"/>
                <w:szCs w:val="16"/>
                <w:color w:val="auto"/>
              </w:rPr>
              <w:t>117,847,842</w:t>
            </w:r>
          </w:p>
        </w:tc>
        <w:tc>
          <w:tcPr>
            <w:tcW w:w="80" w:type="dxa"/>
            <w:vAlign w:val="bottom"/>
          </w:tcPr>
          <w:p>
            <w:pPr>
              <w:spacing w:after="0"/>
              <w:rPr>
                <w:sz w:val="24"/>
                <w:szCs w:val="24"/>
                <w:color w:val="auto"/>
              </w:rPr>
            </w:pPr>
          </w:p>
        </w:tc>
        <w:tc>
          <w:tcPr>
            <w:tcW w:w="1060" w:type="dxa"/>
            <w:vAlign w:val="bottom"/>
          </w:tcPr>
          <w:p>
            <w:pPr>
              <w:jc w:val="center"/>
              <w:ind w:left="46"/>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117,847,842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83"/>
              <w:spacing w:after="0"/>
              <w:rPr>
                <w:sz w:val="20"/>
                <w:szCs w:val="20"/>
                <w:color w:val="auto"/>
              </w:rPr>
            </w:pPr>
            <w:r>
              <w:rPr>
                <w:rFonts w:ascii="Arial" w:cs="Arial" w:eastAsia="Arial" w:hAnsi="Arial"/>
                <w:sz w:val="16"/>
                <w:szCs w:val="16"/>
                <w:color w:val="auto"/>
                <w:w w:val="96"/>
              </w:rPr>
              <w:t>(73,725,999)</w:t>
            </w:r>
          </w:p>
        </w:tc>
        <w:tc>
          <w:tcPr>
            <w:tcW w:w="840" w:type="dxa"/>
            <w:vAlign w:val="bottom"/>
          </w:tcPr>
          <w:p>
            <w:pPr>
              <w:jc w:val="right"/>
              <w:spacing w:after="0"/>
              <w:rPr>
                <w:sz w:val="20"/>
                <w:szCs w:val="20"/>
                <w:color w:val="auto"/>
              </w:rPr>
            </w:pPr>
            <w:r>
              <w:rPr>
                <w:rFonts w:ascii="Arial" w:cs="Arial" w:eastAsia="Arial" w:hAnsi="Arial"/>
                <w:sz w:val="16"/>
                <w:szCs w:val="16"/>
                <w:color w:val="auto"/>
              </w:rPr>
              <w:t>44,121,843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9"/>
              </w:rPr>
              <w:t>Effects of offsetting on the balance sheet</w:t>
            </w:r>
          </w:p>
        </w:tc>
        <w:tc>
          <w:tcPr>
            <w:tcW w:w="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Related amounts not offset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3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left="186"/>
              <w:spacing w:after="0" w:line="119" w:lineRule="exact"/>
              <w:rPr>
                <w:sz w:val="20"/>
                <w:szCs w:val="20"/>
                <w:color w:val="auto"/>
              </w:rPr>
            </w:pPr>
            <w:r>
              <w:rPr>
                <w:rFonts w:ascii="Arial" w:cs="Arial" w:eastAsia="Arial" w:hAnsi="Arial"/>
                <w:sz w:val="13"/>
                <w:szCs w:val="13"/>
                <w:b w:val="1"/>
                <w:bCs w:val="1"/>
                <w:color w:val="auto"/>
                <w:w w:val="95"/>
              </w:rPr>
              <w:t>Gross</w:t>
            </w:r>
          </w:p>
        </w:tc>
        <w:tc>
          <w:tcPr>
            <w:tcW w:w="60" w:type="dxa"/>
            <w:vAlign w:val="bottom"/>
          </w:tcPr>
          <w:p>
            <w:pPr>
              <w:spacing w:after="0"/>
              <w:rPr>
                <w:sz w:val="10"/>
                <w:szCs w:val="10"/>
                <w:color w:val="auto"/>
              </w:rPr>
            </w:pPr>
          </w:p>
        </w:tc>
        <w:tc>
          <w:tcPr>
            <w:tcW w:w="1160" w:type="dxa"/>
            <w:vAlign w:val="bottom"/>
            <w:gridSpan w:val="4"/>
            <w:vMerge w:val="restart"/>
          </w:tcPr>
          <w:p>
            <w:pPr>
              <w:jc w:val="center"/>
              <w:ind w:left="104"/>
              <w:spacing w:after="0"/>
              <w:rPr>
                <w:sz w:val="20"/>
                <w:szCs w:val="20"/>
                <w:color w:val="auto"/>
              </w:rPr>
            </w:pPr>
            <w:r>
              <w:rPr>
                <w:rFonts w:ascii="Arial" w:cs="Arial" w:eastAsia="Arial" w:hAnsi="Arial"/>
                <w:sz w:val="14"/>
                <w:szCs w:val="14"/>
                <w:b w:val="1"/>
                <w:bCs w:val="1"/>
                <w:color w:val="auto"/>
                <w:w w:val="91"/>
              </w:rPr>
              <w:t>Net amounts</w:t>
            </w:r>
          </w:p>
        </w:tc>
        <w:tc>
          <w:tcPr>
            <w:tcW w:w="24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Amounts</w:t>
            </w:r>
          </w:p>
        </w:tc>
        <w:tc>
          <w:tcPr>
            <w:tcW w:w="1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left="186"/>
              <w:spacing w:after="0" w:line="148" w:lineRule="exact"/>
              <w:rPr>
                <w:sz w:val="20"/>
                <w:szCs w:val="20"/>
                <w:color w:val="auto"/>
              </w:rPr>
            </w:pPr>
            <w:r>
              <w:rPr>
                <w:rFonts w:ascii="Arial" w:cs="Arial" w:eastAsia="Arial" w:hAnsi="Arial"/>
                <w:sz w:val="14"/>
                <w:szCs w:val="14"/>
                <w:b w:val="1"/>
                <w:bCs w:val="1"/>
                <w:color w:val="auto"/>
                <w:w w:val="89"/>
              </w:rPr>
              <w:t>amounts</w:t>
            </w:r>
          </w:p>
        </w:tc>
        <w:tc>
          <w:tcPr>
            <w:tcW w:w="6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subject to</w:t>
            </w:r>
          </w:p>
        </w:tc>
        <w:tc>
          <w:tcPr>
            <w:tcW w:w="126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Financial</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60" w:type="dxa"/>
            <w:vAlign w:val="bottom"/>
          </w:tcPr>
          <w:p>
            <w:pPr>
              <w:jc w:val="center"/>
              <w:ind w:left="186"/>
              <w:spacing w:after="0" w:line="148" w:lineRule="exact"/>
              <w:rPr>
                <w:sz w:val="20"/>
                <w:szCs w:val="20"/>
                <w:color w:val="auto"/>
              </w:rPr>
            </w:pPr>
            <w:r>
              <w:rPr>
                <w:rFonts w:ascii="Arial" w:cs="Arial" w:eastAsia="Arial" w:hAnsi="Arial"/>
                <w:sz w:val="14"/>
                <w:szCs w:val="14"/>
                <w:b w:val="1"/>
                <w:bCs w:val="1"/>
                <w:color w:val="auto"/>
                <w:w w:val="91"/>
              </w:rPr>
              <w:t>set off in the</w:t>
            </w:r>
          </w:p>
        </w:tc>
        <w:tc>
          <w:tcPr>
            <w:tcW w:w="60" w:type="dxa"/>
            <w:vAlign w:val="bottom"/>
          </w:tcPr>
          <w:p>
            <w:pPr>
              <w:spacing w:after="0"/>
              <w:rPr>
                <w:sz w:val="12"/>
                <w:szCs w:val="12"/>
                <w:color w:val="auto"/>
              </w:rPr>
            </w:pPr>
          </w:p>
        </w:tc>
        <w:tc>
          <w:tcPr>
            <w:tcW w:w="1160" w:type="dxa"/>
            <w:vAlign w:val="bottom"/>
            <w:gridSpan w:val="4"/>
          </w:tcPr>
          <w:p>
            <w:pPr>
              <w:jc w:val="center"/>
              <w:ind w:left="104"/>
              <w:spacing w:after="0" w:line="148" w:lineRule="exact"/>
              <w:rPr>
                <w:sz w:val="20"/>
                <w:szCs w:val="20"/>
                <w:color w:val="auto"/>
              </w:rPr>
            </w:pPr>
            <w:r>
              <w:rPr>
                <w:rFonts w:ascii="Arial" w:cs="Arial" w:eastAsia="Arial" w:hAnsi="Arial"/>
                <w:sz w:val="14"/>
                <w:szCs w:val="14"/>
                <w:b w:val="1"/>
                <w:bCs w:val="1"/>
                <w:color w:val="auto"/>
                <w:w w:val="88"/>
              </w:rPr>
              <w:t>presented in</w:t>
            </w:r>
          </w:p>
        </w:tc>
        <w:tc>
          <w:tcPr>
            <w:tcW w:w="2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master</w:t>
            </w:r>
          </w:p>
        </w:tc>
        <w:tc>
          <w:tcPr>
            <w:tcW w:w="12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left="186"/>
              <w:spacing w:after="0" w:line="148" w:lineRule="exact"/>
              <w:rPr>
                <w:sz w:val="20"/>
                <w:szCs w:val="20"/>
                <w:color w:val="auto"/>
              </w:rPr>
            </w:pPr>
            <w:r>
              <w:rPr>
                <w:rFonts w:ascii="Arial" w:cs="Arial" w:eastAsia="Arial" w:hAnsi="Arial"/>
                <w:sz w:val="14"/>
                <w:szCs w:val="14"/>
                <w:b w:val="1"/>
                <w:bCs w:val="1"/>
                <w:color w:val="auto"/>
                <w:w w:val="91"/>
              </w:rPr>
              <w:t>balance</w:t>
            </w:r>
          </w:p>
        </w:tc>
        <w:tc>
          <w:tcPr>
            <w:tcW w:w="60" w:type="dxa"/>
            <w:vAlign w:val="bottom"/>
          </w:tcPr>
          <w:p>
            <w:pPr>
              <w:spacing w:after="0"/>
              <w:rPr>
                <w:sz w:val="12"/>
                <w:szCs w:val="12"/>
                <w:color w:val="auto"/>
              </w:rPr>
            </w:pPr>
          </w:p>
        </w:tc>
        <w:tc>
          <w:tcPr>
            <w:tcW w:w="1160" w:type="dxa"/>
            <w:vAlign w:val="bottom"/>
            <w:gridSpan w:val="4"/>
          </w:tcPr>
          <w:p>
            <w:pPr>
              <w:jc w:val="center"/>
              <w:ind w:left="104"/>
              <w:spacing w:after="0" w:line="148" w:lineRule="exact"/>
              <w:rPr>
                <w:sz w:val="20"/>
                <w:szCs w:val="20"/>
                <w:color w:val="auto"/>
              </w:rPr>
            </w:pPr>
            <w:r>
              <w:rPr>
                <w:rFonts w:ascii="Arial" w:cs="Arial" w:eastAsia="Arial" w:hAnsi="Arial"/>
                <w:sz w:val="14"/>
                <w:szCs w:val="14"/>
                <w:b w:val="1"/>
                <w:bCs w:val="1"/>
                <w:color w:val="auto"/>
                <w:w w:val="90"/>
              </w:rPr>
              <w:t>the balance</w:t>
            </w:r>
          </w:p>
        </w:tc>
        <w:tc>
          <w:tcPr>
            <w:tcW w:w="24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netting</w:t>
            </w:r>
          </w:p>
        </w:tc>
        <w:tc>
          <w:tcPr>
            <w:tcW w:w="1260" w:type="dxa"/>
            <w:vAlign w:val="bottom"/>
          </w:tcPr>
          <w:p>
            <w:pPr>
              <w:jc w:val="right"/>
              <w:ind w:right="283"/>
              <w:spacing w:after="0" w:line="148" w:lineRule="exact"/>
              <w:rPr>
                <w:sz w:val="20"/>
                <w:szCs w:val="20"/>
                <w:color w:val="auto"/>
              </w:rPr>
            </w:pPr>
            <w:r>
              <w:rPr>
                <w:rFonts w:ascii="Arial" w:cs="Arial" w:eastAsia="Arial" w:hAnsi="Arial"/>
                <w:sz w:val="14"/>
                <w:szCs w:val="14"/>
                <w:b w:val="1"/>
                <w:bCs w:val="1"/>
                <w:color w:val="auto"/>
              </w:rPr>
              <w:t>instrument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Net amount</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4"/>
                <w:szCs w:val="14"/>
                <w:color w:val="auto"/>
              </w:rPr>
            </w:pPr>
          </w:p>
        </w:tc>
        <w:tc>
          <w:tcPr>
            <w:tcW w:w="1060" w:type="dxa"/>
            <w:vAlign w:val="bottom"/>
          </w:tcPr>
          <w:p>
            <w:pPr>
              <w:jc w:val="center"/>
              <w:ind w:left="186"/>
              <w:spacing w:after="0"/>
              <w:rPr>
                <w:sz w:val="20"/>
                <w:szCs w:val="20"/>
                <w:color w:val="auto"/>
              </w:rPr>
            </w:pPr>
            <w:r>
              <w:rPr>
                <w:rFonts w:ascii="Arial" w:cs="Arial" w:eastAsia="Arial" w:hAnsi="Arial"/>
                <w:sz w:val="14"/>
                <w:szCs w:val="14"/>
                <w:b w:val="1"/>
                <w:bCs w:val="1"/>
                <w:color w:val="auto"/>
                <w:w w:val="87"/>
              </w:rPr>
              <w:t>sheet</w:t>
            </w:r>
          </w:p>
        </w:tc>
        <w:tc>
          <w:tcPr>
            <w:tcW w:w="60" w:type="dxa"/>
            <w:vAlign w:val="bottom"/>
          </w:tcPr>
          <w:p>
            <w:pPr>
              <w:spacing w:after="0"/>
              <w:rPr>
                <w:sz w:val="14"/>
                <w:szCs w:val="14"/>
                <w:color w:val="auto"/>
              </w:rPr>
            </w:pPr>
          </w:p>
        </w:tc>
        <w:tc>
          <w:tcPr>
            <w:tcW w:w="1160" w:type="dxa"/>
            <w:vAlign w:val="bottom"/>
            <w:gridSpan w:val="4"/>
          </w:tcPr>
          <w:p>
            <w:pPr>
              <w:jc w:val="center"/>
              <w:ind w:left="104"/>
              <w:spacing w:after="0"/>
              <w:rPr>
                <w:sz w:val="20"/>
                <w:szCs w:val="20"/>
                <w:color w:val="auto"/>
              </w:rPr>
            </w:pPr>
            <w:r>
              <w:rPr>
                <w:rFonts w:ascii="Arial" w:cs="Arial" w:eastAsia="Arial" w:hAnsi="Arial"/>
                <w:sz w:val="14"/>
                <w:szCs w:val="14"/>
                <w:b w:val="1"/>
                <w:bCs w:val="1"/>
                <w:color w:val="auto"/>
                <w:w w:val="81"/>
              </w:rPr>
              <w:t>sheet</w:t>
            </w:r>
          </w:p>
        </w:tc>
        <w:tc>
          <w:tcPr>
            <w:tcW w:w="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arrangements</w:t>
            </w:r>
          </w:p>
        </w:tc>
        <w:tc>
          <w:tcPr>
            <w:tcW w:w="1260" w:type="dxa"/>
            <w:vAlign w:val="bottom"/>
          </w:tcPr>
          <w:p>
            <w:pPr>
              <w:jc w:val="right"/>
              <w:ind w:right="343"/>
              <w:spacing w:after="0"/>
              <w:rPr>
                <w:sz w:val="20"/>
                <w:szCs w:val="20"/>
                <w:color w:val="auto"/>
              </w:rPr>
            </w:pPr>
            <w:r>
              <w:rPr>
                <w:rFonts w:ascii="Arial" w:cs="Arial" w:eastAsia="Arial" w:hAnsi="Arial"/>
                <w:sz w:val="14"/>
                <w:szCs w:val="14"/>
                <w:b w:val="1"/>
                <w:bCs w:val="1"/>
                <w:color w:val="auto"/>
              </w:rPr>
              <w:t>collateral</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6"/>
          </w:tcPr>
          <w:p>
            <w:pPr>
              <w:ind w:left="640"/>
              <w:spacing w:after="0" w:line="141" w:lineRule="exact"/>
              <w:rPr>
                <w:sz w:val="20"/>
                <w:szCs w:val="20"/>
                <w:color w:val="auto"/>
              </w:rPr>
            </w:pPr>
            <w:r>
              <w:rPr>
                <w:rFonts w:ascii="Arial" w:cs="Arial" w:eastAsia="Arial" w:hAnsi="Arial"/>
                <w:sz w:val="14"/>
                <w:szCs w:val="14"/>
                <w:b w:val="1"/>
                <w:bCs w:val="1"/>
                <w:color w:val="auto"/>
              </w:rPr>
              <w:t>HK$ in thousand</w:t>
            </w:r>
          </w:p>
        </w:tc>
        <w:tc>
          <w:tcPr>
            <w:tcW w:w="1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20" w:type="dxa"/>
            <w:vAlign w:val="bottom"/>
          </w:tcPr>
          <w:p>
            <w:pPr>
              <w:ind w:left="320"/>
              <w:spacing w:after="0"/>
              <w:rPr>
                <w:sz w:val="20"/>
                <w:szCs w:val="20"/>
                <w:color w:val="auto"/>
              </w:rPr>
            </w:pPr>
            <w:r>
              <w:rPr>
                <w:rFonts w:ascii="Arial" w:cs="Arial" w:eastAsia="Arial" w:hAnsi="Arial"/>
                <w:sz w:val="16"/>
                <w:szCs w:val="16"/>
                <w:color w:val="auto"/>
              </w:rPr>
              <w:t>Amounts due from clearing organizations</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(217,232,012)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226,845,904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9,613,892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43"/>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9,613,892</w:t>
            </w: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ind w:left="320"/>
              <w:spacing w:after="0" w:line="201" w:lineRule="exact"/>
              <w:rPr>
                <w:sz w:val="20"/>
                <w:szCs w:val="20"/>
                <w:color w:val="auto"/>
              </w:rPr>
            </w:pPr>
            <w:r>
              <w:rPr>
                <w:rFonts w:ascii="Arial" w:cs="Arial" w:eastAsia="Arial" w:hAnsi="Arial"/>
                <w:sz w:val="14"/>
                <w:szCs w:val="14"/>
                <w:color w:val="auto"/>
              </w:rPr>
              <w:t>Deposit paid for securities borrowed</w:t>
            </w:r>
            <w:r>
              <w:rPr>
                <w:rFonts w:ascii="Arial" w:cs="Arial" w:eastAsia="Arial" w:hAnsi="Arial"/>
                <w:sz w:val="23"/>
                <w:szCs w:val="23"/>
                <w:color w:val="auto"/>
                <w:vertAlign w:val="superscript"/>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52,144</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52,144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center"/>
              <w:ind w:left="83"/>
              <w:spacing w:after="0"/>
              <w:rPr>
                <w:sz w:val="20"/>
                <w:szCs w:val="20"/>
                <w:color w:val="auto"/>
              </w:rPr>
            </w:pPr>
            <w:r>
              <w:rPr>
                <w:rFonts w:ascii="Arial" w:cs="Arial" w:eastAsia="Arial" w:hAnsi="Arial"/>
                <w:sz w:val="16"/>
                <w:szCs w:val="16"/>
                <w:color w:val="auto"/>
                <w:w w:val="90"/>
              </w:rPr>
              <w:t>(40,116)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12,028</w:t>
            </w:r>
          </w:p>
        </w:tc>
        <w:tc>
          <w:tcPr>
            <w:tcW w:w="0" w:type="dxa"/>
            <w:vAlign w:val="bottom"/>
          </w:tcPr>
          <w:p>
            <w:pPr>
              <w:spacing w:after="0"/>
              <w:rPr>
                <w:sz w:val="1"/>
                <w:szCs w:val="1"/>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6"/>
                <w:szCs w:val="16"/>
                <w:b w:val="1"/>
                <w:bCs w:val="1"/>
                <w:color w:val="auto"/>
              </w:rPr>
              <w:t>Financial liabilities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Amounts due to clearing organizations</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(206,872,114)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196,430,848</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(10,441,266)</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(10,441,266)</w:t>
            </w:r>
          </w:p>
        </w:tc>
        <w:tc>
          <w:tcPr>
            <w:tcW w:w="0" w:type="dxa"/>
            <w:vAlign w:val="bottom"/>
          </w:tcPr>
          <w:p>
            <w:pPr>
              <w:spacing w:after="0"/>
              <w:rPr>
                <w:sz w:val="1"/>
                <w:szCs w:val="1"/>
                <w:color w:val="auto"/>
              </w:rPr>
            </w:pPr>
          </w:p>
        </w:tc>
      </w:tr>
      <w:tr>
        <w:trPr>
          <w:trHeight w:val="357"/>
        </w:trPr>
        <w:tc>
          <w:tcPr>
            <w:tcW w:w="3820" w:type="dxa"/>
            <w:vAlign w:val="bottom"/>
          </w:tcPr>
          <w:p>
            <w:pPr>
              <w:ind w:left="320"/>
              <w:spacing w:after="0"/>
              <w:rPr>
                <w:sz w:val="20"/>
                <w:szCs w:val="20"/>
                <w:color w:val="auto"/>
              </w:rPr>
            </w:pPr>
            <w:r>
              <w:rPr>
                <w:rFonts w:ascii="Arial" w:cs="Arial" w:eastAsia="Arial" w:hAnsi="Arial"/>
                <w:sz w:val="16"/>
                <w:szCs w:val="16"/>
                <w:color w:val="auto"/>
              </w:rPr>
              <w:t>Deposit received for securities borrowed</w:t>
            </w:r>
            <w:r>
              <w:rPr>
                <w:rFonts w:ascii="Arial" w:cs="Arial" w:eastAsia="Arial" w:hAnsi="Arial"/>
                <w:sz w:val="27"/>
                <w:szCs w:val="27"/>
                <w:color w:val="auto"/>
                <w:vertAlign w:val="superscript"/>
              </w:rPr>
              <w:t>(1)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64,180</w:t>
            </w:r>
          </w:p>
        </w:tc>
        <w:tc>
          <w:tcPr>
            <w:tcW w:w="80" w:type="dxa"/>
            <w:vAlign w:val="bottom"/>
          </w:tcPr>
          <w:p>
            <w:pPr>
              <w:spacing w:after="0"/>
              <w:rPr>
                <w:sz w:val="24"/>
                <w:szCs w:val="24"/>
                <w:color w:val="auto"/>
              </w:rPr>
            </w:pPr>
          </w:p>
        </w:tc>
        <w:tc>
          <w:tcPr>
            <w:tcW w:w="1060" w:type="dxa"/>
            <w:vAlign w:val="bottom"/>
          </w:tcPr>
          <w:p>
            <w:pPr>
              <w:ind w:left="8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64,180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ind w:left="660"/>
              <w:spacing w:after="0"/>
              <w:rPr>
                <w:sz w:val="20"/>
                <w:szCs w:val="20"/>
                <w:color w:val="auto"/>
              </w:rPr>
            </w:pPr>
            <w:r>
              <w:rPr>
                <w:rFonts w:ascii="Arial" w:cs="Arial" w:eastAsia="Arial" w:hAnsi="Arial"/>
                <w:sz w:val="16"/>
                <w:szCs w:val="16"/>
                <w:color w:val="auto"/>
              </w:rPr>
              <w:t>—</w:t>
            </w:r>
          </w:p>
        </w:tc>
        <w:tc>
          <w:tcPr>
            <w:tcW w:w="1260" w:type="dxa"/>
            <w:vAlign w:val="bottom"/>
          </w:tcPr>
          <w:p>
            <w:pPr>
              <w:jc w:val="center"/>
              <w:ind w:left="83"/>
              <w:spacing w:after="0"/>
              <w:rPr>
                <w:sz w:val="20"/>
                <w:szCs w:val="20"/>
                <w:color w:val="auto"/>
              </w:rPr>
            </w:pPr>
            <w:r>
              <w:rPr>
                <w:rFonts w:ascii="Arial" w:cs="Arial" w:eastAsia="Arial" w:hAnsi="Arial"/>
                <w:sz w:val="16"/>
                <w:szCs w:val="16"/>
                <w:color w:val="auto"/>
                <w:w w:val="90"/>
              </w:rPr>
              <w:t>(40,116)</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24,064</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60" w:right="680" w:hanging="324"/>
        <w:spacing w:after="0" w:line="303" w:lineRule="auto"/>
        <w:tabs>
          <w:tab w:leader="none" w:pos="5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gross amounts of deposits paid for securities borrowed is transacted through the securities lender, which guarantees the return of cash to the Operating Company. For presentation purposes, these amounts presented are included in “Receivables from brokers” in the consolidated balance sheets.</w:t>
      </w:r>
    </w:p>
    <w:p>
      <w:pPr>
        <w:ind w:left="560" w:right="140" w:hanging="324"/>
        <w:spacing w:after="0" w:line="360" w:lineRule="auto"/>
        <w:tabs>
          <w:tab w:leader="none" w:pos="5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gross amounts of deposits received for securities loaned is transacted through a program with a clearing organization, which guarantees the return of securities to the Operating Company. For presentation purposes, these amounts presented are included in “Payables to Clients” in the consolidated balance sheets.</w:t>
      </w:r>
    </w:p>
    <w:p>
      <w:pPr>
        <w:spacing w:after="0" w:line="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58"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ADVANCES</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22"/>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91"/>
              <w:spacing w:after="0" w:line="141"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5"/>
          </w:tcPr>
          <w:p>
            <w:pPr>
              <w:jc w:val="right"/>
              <w:ind w:right="271"/>
              <w:spacing w:after="0" w:line="141" w:lineRule="exact"/>
              <w:rPr>
                <w:sz w:val="20"/>
                <w:szCs w:val="20"/>
                <w:color w:val="auto"/>
              </w:rPr>
            </w:pPr>
            <w:r>
              <w:rPr>
                <w:rFonts w:ascii="Arial" w:cs="Arial" w:eastAsia="Arial" w:hAnsi="Arial"/>
                <w:sz w:val="14"/>
                <w:szCs w:val="14"/>
                <w:b w:val="1"/>
                <w:bCs w:val="1"/>
                <w:color w:val="auto"/>
              </w:rPr>
              <w:t>(HK$ 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Margin loans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126,163</w:t>
            </w: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2,865,035</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advances</w:t>
            </w:r>
          </w:p>
        </w:tc>
        <w:tc>
          <w:tcPr>
            <w:tcW w:w="1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42,932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126,163</w:t>
            </w: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2,907,967</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79"/>
              </w:rPr>
              <w:t>5.</w:t>
            </w:r>
          </w:p>
        </w:tc>
        <w:tc>
          <w:tcPr>
            <w:tcW w:w="73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280" w:type="dxa"/>
            <w:vAlign w:val="bottom"/>
            <w:vMerge w:val="continue"/>
          </w:tcPr>
          <w:p>
            <w:pPr>
              <w:spacing w:after="0"/>
              <w:rPr>
                <w:sz w:val="24"/>
                <w:szCs w:val="24"/>
                <w:color w:val="auto"/>
              </w:rPr>
            </w:pPr>
          </w:p>
        </w:tc>
        <w:tc>
          <w:tcPr>
            <w:tcW w:w="7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40" w:type="dxa"/>
            <w:vAlign w:val="bottom"/>
            <w:gridSpan w:val="6"/>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22"/>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91"/>
              <w:spacing w:after="0" w:line="141"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5"/>
          </w:tcPr>
          <w:p>
            <w:pPr>
              <w:ind w:left="260"/>
              <w:spacing w:after="0" w:line="141" w:lineRule="exact"/>
              <w:rPr>
                <w:sz w:val="20"/>
                <w:szCs w:val="20"/>
                <w:color w:val="auto"/>
              </w:rPr>
            </w:pPr>
            <w:r>
              <w:rPr>
                <w:rFonts w:ascii="Arial" w:cs="Arial" w:eastAsia="Arial" w:hAnsi="Arial"/>
                <w:sz w:val="14"/>
                <w:szCs w:val="14"/>
                <w:b w:val="1"/>
                <w:bCs w:val="1"/>
                <w:color w:val="auto"/>
              </w:rPr>
              <w:t>(HK$ 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carrying amount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2,382</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Office equipment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6,701</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Vehicle</w:t>
            </w:r>
          </w:p>
        </w:tc>
        <w:tc>
          <w:tcPr>
            <w:tcW w:w="10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632</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of gross carrying amount</w:t>
            </w: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13,258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22,301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accumulated depreciation</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1080" w:type="dxa"/>
            <w:vAlign w:val="bottom"/>
            <w:gridSpan w:val="4"/>
          </w:tcPr>
          <w:p>
            <w:pPr>
              <w:jc w:val="right"/>
              <w:ind w:right="300"/>
              <w:spacing w:after="0"/>
              <w:rPr>
                <w:sz w:val="20"/>
                <w:szCs w:val="20"/>
                <w:color w:val="auto"/>
              </w:rPr>
            </w:pPr>
            <w:r>
              <w:rPr>
                <w:rFonts w:ascii="Arial" w:cs="Arial" w:eastAsia="Arial" w:hAnsi="Arial"/>
                <w:sz w:val="18"/>
                <w:szCs w:val="18"/>
                <w:color w:val="auto"/>
              </w:rPr>
              <w:t>(1,410)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(1,116)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Office equipment</w:t>
            </w:r>
          </w:p>
        </w:tc>
        <w:tc>
          <w:tcPr>
            <w:tcW w:w="1080" w:type="dxa"/>
            <w:vAlign w:val="bottom"/>
            <w:gridSpan w:val="4"/>
          </w:tcPr>
          <w:p>
            <w:pPr>
              <w:jc w:val="right"/>
              <w:ind w:right="300"/>
              <w:spacing w:after="0"/>
              <w:rPr>
                <w:sz w:val="20"/>
                <w:szCs w:val="20"/>
                <w:color w:val="auto"/>
              </w:rPr>
            </w:pPr>
            <w:r>
              <w:rPr>
                <w:rFonts w:ascii="Arial" w:cs="Arial" w:eastAsia="Arial" w:hAnsi="Arial"/>
                <w:sz w:val="18"/>
                <w:szCs w:val="18"/>
                <w:color w:val="auto"/>
              </w:rPr>
              <w:t>(2,340)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Vehicle</w:t>
            </w:r>
          </w:p>
        </w:tc>
        <w:tc>
          <w:tcPr>
            <w:tcW w:w="10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of accumulated depreciation</w:t>
            </w: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(5,036)</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(8,908)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Depreciation expenses on property and equipment which are included in research and development expenses, selling and marketing expenses and general and administrative expenses in the consolidated statements of comprehensive loss for the years ended December 31, 2016 and 2017 were HK$3,354 thousand and HK$3,998 thousand, respectively.</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240" w:top="458" w:right="5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tbl>
      <w:tblPr>
        <w:tblLayout w:type="fixed"/>
        <w:tblInd w:w="240" w:type="dxa"/>
        <w:tblCellMar>
          <w:top w:w="0" w:type="dxa"/>
          <w:left w:w="0" w:type="dxa"/>
          <w:bottom w:w="0" w:type="dxa"/>
          <w:right w:w="0" w:type="dxa"/>
        </w:tblCellMar>
      </w:tblPr>
      <w:tr>
        <w:trPr>
          <w:trHeight w:val="233"/>
        </w:trPr>
        <w:tc>
          <w:tcPr>
            <w:tcW w:w="28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6.</w:t>
            </w:r>
          </w:p>
        </w:tc>
        <w:tc>
          <w:tcPr>
            <w:tcW w:w="7820" w:type="dxa"/>
            <w:vAlign w:val="bottom"/>
            <w:gridSpan w:val="2"/>
          </w:tcPr>
          <w:p>
            <w:pPr>
              <w:ind w:left="140"/>
              <w:spacing w:after="0"/>
              <w:rPr>
                <w:sz w:val="20"/>
                <w:szCs w:val="20"/>
                <w:color w:val="auto"/>
              </w:rPr>
            </w:pPr>
            <w:r>
              <w:rPr>
                <w:rFonts w:ascii="Arial" w:cs="Arial" w:eastAsia="Arial" w:hAnsi="Arial"/>
                <w:sz w:val="18"/>
                <w:szCs w:val="18"/>
                <w:b w:val="1"/>
                <w:bCs w:val="1"/>
                <w:color w:val="auto"/>
              </w:rPr>
              <w:t>INTANGIBLE ASSETS , NET</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8"/>
        </w:trPr>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1540" w:type="dxa"/>
            <w:vAlign w:val="bottom"/>
            <w:gridSpan w:val="4"/>
          </w:tcPr>
          <w:p>
            <w:pPr>
              <w:ind w:left="120"/>
              <w:spacing w:after="0"/>
              <w:rPr>
                <w:sz w:val="20"/>
                <w:szCs w:val="20"/>
                <w:color w:val="auto"/>
              </w:rPr>
            </w:pPr>
            <w:r>
              <w:rPr>
                <w:rFonts w:ascii="Arial" w:cs="Arial" w:eastAsia="Arial" w:hAnsi="Arial"/>
                <w:sz w:val="14"/>
                <w:szCs w:val="14"/>
                <w:b w:val="1"/>
                <w:bCs w:val="1"/>
                <w:color w:val="auto"/>
              </w:rPr>
              <w:t>As of December 31,</w:t>
            </w:r>
          </w:p>
        </w:tc>
      </w:tr>
      <w:tr>
        <w:trPr>
          <w:trHeight w:val="141"/>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1"/>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20" w:type="dxa"/>
            <w:vAlign w:val="bottom"/>
            <w:gridSpan w:val="3"/>
          </w:tcPr>
          <w:p>
            <w:pPr>
              <w:ind w:left="120"/>
              <w:spacing w:after="0" w:line="141" w:lineRule="exact"/>
              <w:rPr>
                <w:sz w:val="20"/>
                <w:szCs w:val="20"/>
                <w:color w:val="auto"/>
              </w:rPr>
            </w:pPr>
            <w:r>
              <w:rPr>
                <w:rFonts w:ascii="Arial" w:cs="Arial" w:eastAsia="Arial" w:hAnsi="Arial"/>
                <w:sz w:val="14"/>
                <w:szCs w:val="14"/>
                <w:b w:val="1"/>
                <w:bCs w:val="1"/>
                <w:color w:val="auto"/>
                <w:w w:val="99"/>
              </w:rPr>
              <w:t>(HK$ in thousands)</w:t>
            </w:r>
          </w:p>
        </w:tc>
        <w:tc>
          <w:tcPr>
            <w:tcW w:w="120" w:type="dxa"/>
            <w:vAlign w:val="bottom"/>
          </w:tcPr>
          <w:p>
            <w:pPr>
              <w:spacing w:after="0"/>
              <w:rPr>
                <w:sz w:val="12"/>
                <w:szCs w:val="12"/>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carrying amount</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Computer software</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1,072</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1,217</w:t>
            </w:r>
          </w:p>
        </w:tc>
        <w:tc>
          <w:tcPr>
            <w:tcW w:w="12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Golf membership</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Trading right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500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7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of gross carrying amount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2,250</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2,443</w:t>
            </w:r>
          </w:p>
        </w:tc>
        <w:tc>
          <w:tcPr>
            <w:tcW w:w="120" w:type="dxa"/>
            <w:vAlign w:val="bottom"/>
            <w:shd w:val="clear" w:color="auto" w:fill="CCEEFF"/>
          </w:tcPr>
          <w:p>
            <w:pPr>
              <w:spacing w:after="0"/>
              <w:rPr>
                <w:sz w:val="18"/>
                <w:szCs w:val="18"/>
                <w:color w:val="auto"/>
              </w:rPr>
            </w:pPr>
          </w:p>
        </w:tc>
      </w:tr>
      <w:tr>
        <w:trPr>
          <w:trHeight w:val="222"/>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Less: accumulated amortization</w:t>
            </w:r>
          </w:p>
        </w:tc>
        <w:tc>
          <w:tcPr>
            <w:tcW w:w="4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w:t>
            </w: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Golf membership</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Trading right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Total of accumulated amortization</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(747)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(1,164)</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7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1,503</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1,279</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Amortization expenses on intangible assets which are included in research and development expenses, selling and marketing expense and general and administrative expenses in the consolidated statements of comprehensive loss for the years ended December 31, 2016 and 2017 were HK$222 thousand and HK$302 thousand, respectively.</w:t>
      </w:r>
    </w:p>
    <w:p>
      <w:pPr>
        <w:spacing w:after="0" w:line="325" w:lineRule="exact"/>
        <w:rPr>
          <w:sz w:val="20"/>
          <w:szCs w:val="20"/>
          <w:color w:val="auto"/>
        </w:rPr>
      </w:pPr>
    </w:p>
    <w:tbl>
      <w:tblPr>
        <w:tblLayout w:type="fixed"/>
        <w:tblInd w:w="240" w:type="dxa"/>
        <w:tblCellMar>
          <w:top w:w="0" w:type="dxa"/>
          <w:left w:w="0" w:type="dxa"/>
          <w:bottom w:w="0" w:type="dxa"/>
          <w:right w:w="0" w:type="dxa"/>
        </w:tblCellMar>
      </w:tblPr>
      <w:tr>
        <w:trPr>
          <w:trHeight w:val="233"/>
        </w:trPr>
        <w:tc>
          <w:tcPr>
            <w:tcW w:w="28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7.</w:t>
            </w:r>
          </w:p>
        </w:tc>
        <w:tc>
          <w:tcPr>
            <w:tcW w:w="768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ASSETS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8"/>
        </w:trPr>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1680" w:type="dxa"/>
            <w:vAlign w:val="bottom"/>
            <w:gridSpan w:val="5"/>
          </w:tcPr>
          <w:p>
            <w:pPr>
              <w:ind w:left="220"/>
              <w:spacing w:after="0"/>
              <w:rPr>
                <w:sz w:val="20"/>
                <w:szCs w:val="20"/>
                <w:color w:val="auto"/>
              </w:rPr>
            </w:pPr>
            <w:r>
              <w:rPr>
                <w:rFonts w:ascii="Arial" w:cs="Arial" w:eastAsia="Arial" w:hAnsi="Arial"/>
                <w:sz w:val="14"/>
                <w:szCs w:val="14"/>
                <w:b w:val="1"/>
                <w:bCs w:val="1"/>
                <w:color w:val="auto"/>
              </w:rPr>
              <w:t>As of December 31,</w:t>
            </w:r>
          </w:p>
        </w:tc>
      </w:tr>
      <w:tr>
        <w:trPr>
          <w:trHeight w:val="141"/>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41"/>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600" w:type="dxa"/>
            <w:vAlign w:val="bottom"/>
            <w:gridSpan w:val="4"/>
          </w:tcPr>
          <w:p>
            <w:pPr>
              <w:ind w:left="200"/>
              <w:spacing w:after="0" w:line="141" w:lineRule="exact"/>
              <w:rPr>
                <w:sz w:val="20"/>
                <w:szCs w:val="20"/>
                <w:color w:val="auto"/>
              </w:rPr>
            </w:pPr>
            <w:r>
              <w:rPr>
                <w:rFonts w:ascii="Arial" w:cs="Arial" w:eastAsia="Arial" w:hAnsi="Arial"/>
                <w:sz w:val="14"/>
                <w:szCs w:val="14"/>
                <w:b w:val="1"/>
                <w:bCs w:val="1"/>
                <w:color w:val="auto"/>
              </w:rPr>
              <w:t>(HK$ in thousands)</w:t>
            </w:r>
          </w:p>
        </w:tc>
        <w:tc>
          <w:tcPr>
            <w:tcW w:w="80" w:type="dxa"/>
            <w:vAlign w:val="bottom"/>
          </w:tcPr>
          <w:p>
            <w:pPr>
              <w:spacing w:after="0"/>
              <w:rPr>
                <w:sz w:val="12"/>
                <w:szCs w:val="12"/>
                <w:color w:val="auto"/>
              </w:rPr>
            </w:pP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(Note 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8,222</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13,393</w:t>
            </w: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Intangible assets, net (Note 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1,503</w:t>
            </w:r>
          </w:p>
        </w:tc>
        <w:tc>
          <w:tcPr>
            <w:tcW w:w="3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1,279</w:t>
            </w: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(Note 22)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19,839</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15,776</w:t>
            </w: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Refundable deposit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6,004</w:t>
            </w:r>
          </w:p>
        </w:tc>
        <w:tc>
          <w:tcPr>
            <w:tcW w:w="3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18,659</w:t>
            </w:r>
          </w:p>
        </w:tc>
      </w:tr>
      <w:tr>
        <w:trPr>
          <w:trHeight w:val="215"/>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10,308</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16,811</w:t>
            </w:r>
          </w:p>
        </w:tc>
      </w:tr>
      <w:tr>
        <w:trPr>
          <w:trHeight w:val="222"/>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65,918</w:t>
            </w:r>
          </w:p>
        </w:tc>
        <w:tc>
          <w:tcPr>
            <w:tcW w:w="8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8" w:lineRule="exact"/>
        <w:rPr>
          <w:sz w:val="20"/>
          <w:szCs w:val="20"/>
          <w:color w:val="auto"/>
        </w:rPr>
      </w:pPr>
    </w:p>
    <w:p>
      <w:pPr>
        <w:ind w:left="660" w:hanging="424"/>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124"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19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141"/>
        </w:trPr>
        <w:tc>
          <w:tcPr>
            <w:tcW w:w="8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1"/>
        </w:trPr>
        <w:tc>
          <w:tcPr>
            <w:tcW w:w="8140" w:type="dxa"/>
            <w:vAlign w:val="bottom"/>
          </w:tcPr>
          <w:p>
            <w:pPr>
              <w:spacing w:after="0"/>
              <w:rPr>
                <w:sz w:val="12"/>
                <w:szCs w:val="12"/>
                <w:color w:val="auto"/>
              </w:rPr>
            </w:pPr>
          </w:p>
        </w:tc>
        <w:tc>
          <w:tcPr>
            <w:tcW w:w="1860" w:type="dxa"/>
            <w:vAlign w:val="bottom"/>
            <w:gridSpan w:val="4"/>
          </w:tcPr>
          <w:p>
            <w:pPr>
              <w:jc w:val="right"/>
              <w:ind w:right="235"/>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r>
      <w:tr>
        <w:trPr>
          <w:trHeight w:val="215"/>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8140" w:type="dxa"/>
            <w:vAlign w:val="bottom"/>
          </w:tcPr>
          <w:p>
            <w:pPr>
              <w:ind w:left="360"/>
              <w:spacing w:after="0"/>
              <w:rPr>
                <w:sz w:val="20"/>
                <w:szCs w:val="20"/>
                <w:color w:val="auto"/>
              </w:rPr>
            </w:pPr>
            <w:r>
              <w:rPr>
                <w:rFonts w:ascii="Arial" w:cs="Arial" w:eastAsia="Arial" w:hAnsi="Arial"/>
                <w:sz w:val="18"/>
                <w:szCs w:val="18"/>
                <w:color w:val="auto"/>
              </w:rPr>
              <w:t>Banks</w:t>
            </w:r>
          </w:p>
        </w:tc>
        <w:tc>
          <w:tcPr>
            <w:tcW w:w="10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1,142,448</w:t>
            </w:r>
          </w:p>
        </w:tc>
        <w:tc>
          <w:tcPr>
            <w:tcW w:w="60" w:type="dxa"/>
            <w:vAlign w:val="bottom"/>
          </w:tcPr>
          <w:p>
            <w:pPr>
              <w:spacing w:after="0"/>
              <w:rPr>
                <w:sz w:val="18"/>
                <w:szCs w:val="18"/>
                <w:color w:val="auto"/>
              </w:rPr>
            </w:pPr>
          </w:p>
        </w:tc>
      </w:tr>
      <w:tr>
        <w:trPr>
          <w:trHeight w:val="228"/>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161,179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161,179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1,542,448</w:t>
            </w:r>
          </w:p>
        </w:tc>
        <w:tc>
          <w:tcPr>
            <w:tcW w:w="6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right="140" w:firstLine="438"/>
        <w:spacing w:after="0" w:line="275" w:lineRule="auto"/>
        <w:rPr>
          <w:sz w:val="20"/>
          <w:szCs w:val="20"/>
          <w:color w:val="auto"/>
        </w:rPr>
      </w:pPr>
      <w:r>
        <w:rPr>
          <w:rFonts w:ascii="Arial" w:cs="Arial" w:eastAsia="Arial" w:hAnsi="Arial"/>
          <w:sz w:val="18"/>
          <w:szCs w:val="18"/>
          <w:color w:val="auto"/>
        </w:rPr>
        <w:t>The Group loaned short-term borrowings mainly support its margin financing business in Hong Kong securities market. Those borrowings bear weighted average interest rates of 4.09% and 3.18% as of December 31, 2016 and 2017, respectively.</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240" w:top="458" w:right="5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 (Continued)</w:t>
      </w:r>
    </w:p>
    <w:p>
      <w:pPr>
        <w:spacing w:after="0" w:line="133" w:lineRule="exact"/>
        <w:rPr>
          <w:sz w:val="20"/>
          <w:szCs w:val="20"/>
          <w:color w:val="auto"/>
        </w:rPr>
      </w:pPr>
    </w:p>
    <w:p>
      <w:pPr>
        <w:ind w:left="240" w:right="20" w:firstLine="438"/>
        <w:spacing w:after="0" w:line="262" w:lineRule="auto"/>
        <w:rPr>
          <w:sz w:val="20"/>
          <w:szCs w:val="20"/>
          <w:color w:val="auto"/>
        </w:rPr>
      </w:pPr>
      <w:r>
        <w:rPr>
          <w:rFonts w:ascii="Arial" w:cs="Arial" w:eastAsia="Arial" w:hAnsi="Arial"/>
          <w:sz w:val="18"/>
          <w:szCs w:val="18"/>
          <w:color w:val="auto"/>
        </w:rPr>
        <w:t>As of December 31, 2016, The Group has facility from a related party, of which principal amounts to RMB10,000 thousand with fixed interest rate of 5.35% per annum, guaranteed by Mr. Leaf Hua Li, the principal shareholder, the founder, chairman and chief executive officer of the Group. The short-term borrowing has been fully repaid to the related party in 2017.</w:t>
      </w:r>
    </w:p>
    <w:p>
      <w:pPr>
        <w:spacing w:after="0" w:line="181" w:lineRule="exact"/>
        <w:rPr>
          <w:sz w:val="20"/>
          <w:szCs w:val="20"/>
          <w:color w:val="auto"/>
        </w:rPr>
      </w:pPr>
    </w:p>
    <w:p>
      <w:pPr>
        <w:jc w:val="both"/>
        <w:ind w:left="240" w:right="180" w:firstLine="438"/>
        <w:spacing w:after="0" w:line="262" w:lineRule="auto"/>
        <w:rPr>
          <w:sz w:val="20"/>
          <w:szCs w:val="20"/>
          <w:color w:val="auto"/>
        </w:rPr>
      </w:pPr>
      <w:r>
        <w:rPr>
          <w:rFonts w:ascii="Arial" w:cs="Arial" w:eastAsia="Arial" w:hAnsi="Arial"/>
          <w:sz w:val="18"/>
          <w:szCs w:val="18"/>
          <w:color w:val="auto"/>
        </w:rPr>
        <w:t>In September 2016, the Group entered into a revolving loan agreement with a related party of a facility amount of up to HK$200,000 thousand with fixed interest rate of 4% per annum. The short-term borrowing has been repaid by the means of transforming claims into the partial settlement of consideration of series C preferred shares in 2017 (Note 12).</w:t>
      </w:r>
    </w:p>
    <w:p>
      <w:pPr>
        <w:spacing w:after="0" w:line="181" w:lineRule="exact"/>
        <w:rPr>
          <w:sz w:val="20"/>
          <w:szCs w:val="20"/>
          <w:color w:val="auto"/>
        </w:rPr>
      </w:pPr>
    </w:p>
    <w:p>
      <w:pPr>
        <w:jc w:val="both"/>
        <w:ind w:left="240" w:right="440" w:firstLine="438"/>
        <w:spacing w:after="0" w:line="262" w:lineRule="auto"/>
        <w:rPr>
          <w:sz w:val="20"/>
          <w:szCs w:val="20"/>
          <w:color w:val="auto"/>
        </w:rPr>
      </w:pPr>
      <w:r>
        <w:rPr>
          <w:rFonts w:ascii="Arial" w:cs="Arial" w:eastAsia="Arial" w:hAnsi="Arial"/>
          <w:sz w:val="18"/>
          <w:szCs w:val="18"/>
          <w:color w:val="auto"/>
        </w:rPr>
        <w:t>In December 2017, the Group entered into a loan agreement with a related party of a facility amount of up to HK$700,000 thousand with a maturity date of June 21, 2018 at a fixed interest rate equal to 4.5% per annum. As of December 31, 2017, the outstanding balance of the loan was HK$400,000 thousand.</w:t>
      </w:r>
    </w:p>
    <w:p>
      <w:pPr>
        <w:spacing w:after="0" w:line="181" w:lineRule="exact"/>
        <w:rPr>
          <w:sz w:val="20"/>
          <w:szCs w:val="20"/>
          <w:color w:val="auto"/>
        </w:rPr>
      </w:pPr>
    </w:p>
    <w:p>
      <w:pPr>
        <w:ind w:left="240" w:right="320" w:firstLine="438"/>
        <w:spacing w:after="0" w:line="255" w:lineRule="auto"/>
        <w:rPr>
          <w:sz w:val="20"/>
          <w:szCs w:val="20"/>
          <w:color w:val="auto"/>
        </w:rPr>
      </w:pPr>
      <w:r>
        <w:rPr>
          <w:rFonts w:ascii="Arial" w:cs="Arial" w:eastAsia="Arial" w:hAnsi="Arial"/>
          <w:sz w:val="18"/>
          <w:szCs w:val="18"/>
          <w:color w:val="auto"/>
        </w:rPr>
        <w:t>In February 2017, the Group entered into an uncommitted revolving loan agreement with a commercial bank in Hong Kong of a share margin financing overdraft facility amount of up to HK$180,000 thousand bearing interest of 1.5% per annum over HIBOR. The outstanding balance is repayable on demand by the bank or otherwise becomes due in December 2018. As of December 31, 2017, the outstanding balance of the loan was HK$177,700 thousand, which was guaranteed by Mr. Leaf Hua Li and pledged by shares of our margin financing clients with market value of HK$406,000 thousand as collateral.</w:t>
      </w:r>
    </w:p>
    <w:p>
      <w:pPr>
        <w:spacing w:after="0" w:line="189"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In August 2017, the Group entered into an uncommitted revolving loan agreement with an aggregate facility amount of up to HK$140,000 thousand with a commercial bank in Hong Kong. The loan will mature in August 2018, and bear interest at a floating rate of 1.6% per annum over applicable HIBOR or 0.7% per annum over the deposit rate, whichever is lower (for Hong Kong Dollars), or 1.6% per annum over applicable LIBOR or 0.7% per annum over the deposit rate, whichever is lower (for US Dollars). As of December 31, 2017, the outstanding balance of the loan was HK$140,000 thousand which was guaranteed by Mr. Leaf Hua Li and pledged by shares of our margin financing clients with market value of HK$320,740 thousand as collateral.</w:t>
      </w:r>
    </w:p>
    <w:p>
      <w:pPr>
        <w:spacing w:after="0" w:line="190" w:lineRule="exact"/>
        <w:rPr>
          <w:sz w:val="20"/>
          <w:szCs w:val="20"/>
          <w:color w:val="auto"/>
        </w:rPr>
      </w:pPr>
    </w:p>
    <w:p>
      <w:pPr>
        <w:ind w:left="240" w:firstLine="438"/>
        <w:spacing w:after="0" w:line="290" w:lineRule="auto"/>
        <w:rPr>
          <w:sz w:val="20"/>
          <w:szCs w:val="20"/>
          <w:color w:val="auto"/>
        </w:rPr>
      </w:pPr>
      <w:r>
        <w:rPr>
          <w:rFonts w:ascii="Arial" w:cs="Arial" w:eastAsia="Arial" w:hAnsi="Arial"/>
          <w:sz w:val="16"/>
          <w:szCs w:val="16"/>
          <w:color w:val="auto"/>
        </w:rPr>
        <w:t>In September 2017, the Group entered into an uncommitted revolving loan agreement with a commercial bank in Hong Kong of a facility amount of US$35,000 thousand to finance margin financing business, which will mature in March 2018. US$30,000 thousand out of the US$35,000 thousand loan will bear interest at a floating rate of 1.6% per annum over LIBOR (for US$ advances) or 1.5% per annum over HIBOR (for HK$ advances) or 1% per annum over the Bank’s cost of funds (for RMB advances), while the other US$5,000 thousand will bear interest at a floating rate of 2.2% per annum over LIBOR (for US$ advances) or 2.1% per annum over HIBOR (for HK$ advances) or 1.5% per annum over the bank’s cost of funds (for RMB advances). As of December 31, 2017, the outstanding balance of the loan was HK$128,000 thousand, which was guaranteed by Mr. Leaf Hua Li and pledged by shares of our margin financing clients with market value of HK$426,300 thousand as collateral.</w:t>
      </w:r>
    </w:p>
    <w:p>
      <w:pPr>
        <w:spacing w:after="0" w:line="162"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In November 2017, the Group entered into a one-year credit agreement with a commercial bank in Hong Kong Limited, which provided a revolving loan facility of up to an aggregate maximum amount of HK$750,000 thousand (or 90% of its equivalent in RMB). The facility will expire in November 2018. The Group is entitled to choose the interest period (“Interest Period”) for each advance being either one, two or three month(s). In case of drawings in HK$, the interest shall be charged at 1.5% per annum over HIBOR for the relevant Interest Period. In case of drawings in RMB, the interest shall be charged at 1.5% per annum over the CNH HIBOR for the relevant Interest Period. All amounts borrowed under this Facility (including interest</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240" w:top="457" w:right="5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 (Continued)</w:t>
      </w:r>
    </w:p>
    <w:p>
      <w:pPr>
        <w:spacing w:after="0" w:line="133" w:lineRule="exact"/>
        <w:rPr>
          <w:sz w:val="20"/>
          <w:szCs w:val="20"/>
          <w:color w:val="auto"/>
        </w:rPr>
      </w:pPr>
    </w:p>
    <w:p>
      <w:pPr>
        <w:ind w:left="240" w:right="80"/>
        <w:spacing w:after="0" w:line="262" w:lineRule="auto"/>
        <w:rPr>
          <w:sz w:val="20"/>
          <w:szCs w:val="20"/>
          <w:color w:val="auto"/>
        </w:rPr>
      </w:pPr>
      <w:r>
        <w:rPr>
          <w:rFonts w:ascii="Arial" w:cs="Arial" w:eastAsia="Arial" w:hAnsi="Arial"/>
          <w:sz w:val="18"/>
          <w:szCs w:val="18"/>
          <w:color w:val="auto"/>
        </w:rPr>
        <w:t>accrued thereon) shall be repaid or reborrowed at the end of each Interest Period. As of December 31, 2017, the Group had an outstanding borrowing balance of HK$380,000 thousand under the facility, which was guaranteed by Mr. Leaf Hua Li and pledged by shares of our margin clients with market value of HK$1,299,200 thousand as collateral.</w:t>
      </w:r>
    </w:p>
    <w:p>
      <w:pPr>
        <w:spacing w:after="0" w:line="181" w:lineRule="exact"/>
        <w:rPr>
          <w:sz w:val="20"/>
          <w:szCs w:val="20"/>
          <w:color w:val="auto"/>
        </w:rPr>
      </w:pPr>
    </w:p>
    <w:p>
      <w:pPr>
        <w:jc w:val="both"/>
        <w:ind w:left="240" w:right="20" w:firstLine="438"/>
        <w:spacing w:after="0" w:line="300" w:lineRule="auto"/>
        <w:rPr>
          <w:sz w:val="20"/>
          <w:szCs w:val="20"/>
          <w:color w:val="auto"/>
        </w:rPr>
      </w:pPr>
      <w:r>
        <w:rPr>
          <w:rFonts w:ascii="Arial" w:cs="Arial" w:eastAsia="Arial" w:hAnsi="Arial"/>
          <w:sz w:val="16"/>
          <w:szCs w:val="16"/>
          <w:color w:val="auto"/>
        </w:rPr>
        <w:t>In December 2017, the Group entered into an uncommitted revolving loan agreement with a commercial bank in Hong Kong of a facility amount of up to HK$500,000 thousand or its equivalent in US$ or RMB, which will mature in December 2018. Each drawing will bear interest at a floating rate which will be determined case-by-case in accordance with the bank’s common practice and which shall from time to time be agreed by the Group. As of December 31, 2017, the outstanding balance of the loan was HK$300,000 thousand, which was guaranteed by Mr. Leaf Hua Li.</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 December 2017, the Group entered into a loan agreement with an aggregate amount of up to US$8,000 thousand or its equivalent amount in</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RMB with a commercial bank in China, of which HK$5,000 thousand is revolving with maturity date in December 2018, while the remaining</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HK$3,000 thousand is non-revolving and will mature in December 2020. The loan bear interest at a fixed rate of 5.80% per annum. As of December 31,</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2017, the outstanding balance of the loan was HK$16,748 thousand, which was guaranteed by Mr. Leaf Hua Li.</w:t>
      </w:r>
    </w:p>
    <w:p>
      <w:pPr>
        <w:spacing w:after="0" w:line="352" w:lineRule="exact"/>
        <w:rPr>
          <w:sz w:val="20"/>
          <w:szCs w:val="20"/>
          <w:color w:val="auto"/>
        </w:rPr>
      </w:pPr>
    </w:p>
    <w:p>
      <w:pPr>
        <w:ind w:left="660" w:hanging="424"/>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19" w:lineRule="exact"/>
        <w:rPr>
          <w:sz w:val="20"/>
          <w:szCs w:val="20"/>
          <w:color w:val="auto"/>
        </w:rPr>
      </w:pPr>
    </w:p>
    <w:p>
      <w:pPr>
        <w:ind w:left="240" w:right="180" w:firstLine="438"/>
        <w:spacing w:after="0" w:line="288" w:lineRule="auto"/>
        <w:rPr>
          <w:sz w:val="20"/>
          <w:szCs w:val="20"/>
          <w:color w:val="auto"/>
        </w:rPr>
      </w:pPr>
      <w:r>
        <w:rPr>
          <w:rFonts w:ascii="Arial" w:cs="Arial" w:eastAsia="Arial" w:hAnsi="Arial"/>
          <w:sz w:val="16"/>
          <w:szCs w:val="16"/>
          <w:color w:val="auto"/>
        </w:rPr>
        <w:t>In May 2015, the Group issued convertible notes in the aggregated principal amount of HK$30,000, thousand (US$3,855 thousand) to Qiantang River Investment Limited (“Qiantang River”), the investor of the Group with compounding interest at 4% per annum, maturing one year after the issuance date. Subsequently, an amendment agreed between the Group and the holder of the convertible note to extend maturity date to one year more after the effective date. Pursuant to the convertible note agreement, the holder of the convertible note may convert the outstanding principal of the convertible note and accrued but unpaid interest under this convertible note into a number of shares of Series C Convertible Redeemable Preferred Shares (“Series C Preferred Shares”) of the Company at a per share price of the Series C Preferred Shares; or (ii) convert the outstanding balance in whole or in part into fully paid and non-assessable shares of the Company’s Ordinary Shares at a price per share equal to the fair market value of the Company’s ordinary shares immediately prior to the change of control or IPO, as applicable.</w:t>
      </w:r>
    </w:p>
    <w:p>
      <w:pPr>
        <w:spacing w:after="0" w:line="167"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In conjunction with the issuance of the convertible notes, the Group entered into a Series C Preferred Shares purchase agreement with Image Frame Investment (Hong Kong) Limited, the fellow subsidiary of Qiantang River, the convertible note investor and issued shares of Series C Preferred Shares to it. The issuance of Series C Preferred Shares was to allow convertible note investor to exercise voting rights in the Company on an as-converted basis. No other rights of Series C Preferred Shares could be enjoyed by Qiantang River, convertible note investor prior to the conversion of the convertible note.</w:t>
      </w:r>
    </w:p>
    <w:p>
      <w:pPr>
        <w:spacing w:after="0" w:line="189" w:lineRule="exact"/>
        <w:rPr>
          <w:sz w:val="20"/>
          <w:szCs w:val="20"/>
          <w:color w:val="auto"/>
        </w:rPr>
      </w:pPr>
    </w:p>
    <w:p>
      <w:pPr>
        <w:ind w:left="240" w:right="20" w:firstLine="438"/>
        <w:spacing w:after="0" w:line="262" w:lineRule="auto"/>
        <w:rPr>
          <w:sz w:val="20"/>
          <w:szCs w:val="20"/>
          <w:color w:val="auto"/>
        </w:rPr>
      </w:pPr>
      <w:r>
        <w:rPr>
          <w:rFonts w:ascii="Arial" w:cs="Arial" w:eastAsia="Arial" w:hAnsi="Arial"/>
          <w:sz w:val="18"/>
          <w:szCs w:val="18"/>
          <w:color w:val="auto"/>
        </w:rPr>
        <w:t>Convertible notes, which were classified as liabilities, was initially measured at par under ASC 470 and subsequently stated at amortized cost plus accrued unpaid interest with any difference between the initial carrying value and the principal amount as interest expenses using the effective interest method over the period from the issuance date to the maturity date.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60"/>
          </w:cols>
          <w:pgMar w:left="240" w:top="457" w:right="4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18"/>
          <w:szCs w:val="18"/>
          <w:b w:val="1"/>
          <w:bCs w:val="1"/>
          <w:color w:val="auto"/>
        </w:rPr>
        <w:t>10.</w:t>
        <w:tab/>
        <w:t>ACCRUED EXPENSES AND OTHER LIABILITIES</w:t>
      </w:r>
    </w:p>
    <w:p>
      <w:pPr>
        <w:spacing w:after="0" w:line="245"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6640" w:type="dxa"/>
            <w:vAlign w:val="bottom"/>
          </w:tcPr>
          <w:p>
            <w:pPr>
              <w:spacing w:after="0"/>
              <w:rPr>
                <w:sz w:val="14"/>
                <w:szCs w:val="14"/>
                <w:color w:val="auto"/>
              </w:rPr>
            </w:pPr>
          </w:p>
        </w:tc>
        <w:tc>
          <w:tcPr>
            <w:tcW w:w="168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r>
      <w:tr>
        <w:trPr>
          <w:trHeight w:val="141"/>
        </w:trPr>
        <w:tc>
          <w:tcPr>
            <w:tcW w:w="66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1"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41"/>
        </w:trPr>
        <w:tc>
          <w:tcPr>
            <w:tcW w:w="6640" w:type="dxa"/>
            <w:vAlign w:val="bottom"/>
          </w:tcPr>
          <w:p>
            <w:pPr>
              <w:spacing w:after="0"/>
              <w:rPr>
                <w:sz w:val="12"/>
                <w:szCs w:val="12"/>
                <w:color w:val="auto"/>
              </w:rPr>
            </w:pPr>
          </w:p>
        </w:tc>
        <w:tc>
          <w:tcPr>
            <w:tcW w:w="1600" w:type="dxa"/>
            <w:vAlign w:val="bottom"/>
            <w:gridSpan w:val="3"/>
          </w:tcPr>
          <w:p>
            <w:pPr>
              <w:ind w:left="200"/>
              <w:spacing w:after="0" w:line="141" w:lineRule="exact"/>
              <w:rPr>
                <w:sz w:val="20"/>
                <w:szCs w:val="20"/>
                <w:color w:val="auto"/>
              </w:rPr>
            </w:pPr>
            <w:r>
              <w:rPr>
                <w:rFonts w:ascii="Arial" w:cs="Arial" w:eastAsia="Arial" w:hAnsi="Arial"/>
                <w:sz w:val="14"/>
                <w:szCs w:val="14"/>
                <w:b w:val="1"/>
                <w:bCs w:val="1"/>
                <w:color w:val="auto"/>
              </w:rPr>
              <w:t>(HK$ in thousands)</w:t>
            </w:r>
          </w:p>
        </w:tc>
        <w:tc>
          <w:tcPr>
            <w:tcW w:w="80" w:type="dxa"/>
            <w:vAlign w:val="bottom"/>
          </w:tcPr>
          <w:p>
            <w:pPr>
              <w:spacing w:after="0"/>
              <w:rPr>
                <w:sz w:val="12"/>
                <w:szCs w:val="12"/>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Payroll and welfare payable</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13,179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36,017</w:t>
            </w: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Tax payables</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2,474</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5,135</w:t>
            </w: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Stamp duty, trading levy and trading fee payables</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5,739</w:t>
            </w: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Accrued surcharges of social security underpayment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3,044</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5,451</w:t>
            </w: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4,404</w:t>
            </w: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Others</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4,117</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3,971</w:t>
            </w:r>
          </w:p>
        </w:tc>
      </w:tr>
      <w:tr>
        <w:trPr>
          <w:trHeight w:val="27"/>
        </w:trPr>
        <w:tc>
          <w:tcPr>
            <w:tcW w:w="6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26,689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60,717</w:t>
            </w:r>
          </w:p>
        </w:tc>
      </w:tr>
      <w:tr>
        <w:trPr>
          <w:trHeight w:val="20"/>
        </w:trPr>
        <w:tc>
          <w:tcPr>
            <w:tcW w:w="6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8" w:lineRule="exact"/>
        <w:rPr>
          <w:sz w:val="20"/>
          <w:szCs w:val="20"/>
          <w:color w:val="auto"/>
        </w:rPr>
      </w:pPr>
    </w:p>
    <w:p>
      <w:pPr>
        <w:ind w:left="660" w:hanging="424"/>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19" w:lineRule="exact"/>
        <w:rPr>
          <w:sz w:val="20"/>
          <w:szCs w:val="20"/>
          <w:color w:val="auto"/>
        </w:rPr>
      </w:pPr>
    </w:p>
    <w:p>
      <w:pPr>
        <w:ind w:left="240" w:firstLine="438"/>
        <w:spacing w:after="0" w:line="255" w:lineRule="auto"/>
        <w:rPr>
          <w:sz w:val="20"/>
          <w:szCs w:val="20"/>
          <w:color w:val="auto"/>
        </w:rPr>
      </w:pPr>
      <w:r>
        <w:rPr>
          <w:rFonts w:ascii="Arial" w:cs="Arial" w:eastAsia="Arial" w:hAnsi="Arial"/>
          <w:sz w:val="18"/>
          <w:szCs w:val="18"/>
          <w:color w:val="auto"/>
        </w:rPr>
        <w:t>The Company’s original Memorandum and Articles of Association authorizes the Company to issue 807,500 ordinary shares with a par value of US$0.0050 per share. After a share split effective on September 22, 2016, the Company’s amended Memorandum and Articles of Association authorizes the Company to issue 403,750,000 ordinary shares with a par value of US$0.00001 per share. Each ordinary share is entitled to one vote. The holders of ordinary shares are also entitled to receive dividends whenever funds are legally available and when declared by the Board of Directors, subject to prior rights of holders of all other classes of shares outstanding.</w:t>
      </w:r>
    </w:p>
    <w:p>
      <w:pPr>
        <w:spacing w:after="0" w:line="29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Dividend distribution</w:t>
      </w:r>
    </w:p>
    <w:p>
      <w:pPr>
        <w:spacing w:after="0" w:line="115" w:lineRule="exact"/>
        <w:rPr>
          <w:sz w:val="20"/>
          <w:szCs w:val="20"/>
          <w:color w:val="auto"/>
        </w:rPr>
      </w:pPr>
    </w:p>
    <w:p>
      <w:pPr>
        <w:ind w:left="240" w:right="420" w:firstLine="438"/>
        <w:spacing w:after="0" w:line="275" w:lineRule="auto"/>
        <w:rPr>
          <w:sz w:val="20"/>
          <w:szCs w:val="20"/>
          <w:color w:val="auto"/>
        </w:rPr>
      </w:pPr>
      <w:r>
        <w:rPr>
          <w:rFonts w:ascii="Arial" w:cs="Arial" w:eastAsia="Arial" w:hAnsi="Arial"/>
          <w:sz w:val="18"/>
          <w:szCs w:val="18"/>
          <w:color w:val="auto"/>
        </w:rPr>
        <w:t>Dividend distribution to the company’s shareholders is recognized as a liability in the Group’s financial statements in the period in which the dividends are approved by the Company’s shareholders or directors, where appropriate.</w:t>
      </w:r>
    </w:p>
    <w:p>
      <w:pPr>
        <w:spacing w:after="0" w:line="314" w:lineRule="exact"/>
        <w:rPr>
          <w:sz w:val="20"/>
          <w:szCs w:val="20"/>
          <w:color w:val="auto"/>
        </w:rPr>
      </w:pPr>
    </w:p>
    <w:p>
      <w:pPr>
        <w:ind w:left="660" w:hanging="424"/>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119" w:lineRule="exact"/>
        <w:rPr>
          <w:sz w:val="20"/>
          <w:szCs w:val="20"/>
          <w:color w:val="auto"/>
        </w:rPr>
      </w:pPr>
    </w:p>
    <w:p>
      <w:pPr>
        <w:ind w:left="240" w:right="40" w:firstLine="438"/>
        <w:spacing w:after="0" w:line="262" w:lineRule="auto"/>
        <w:rPr>
          <w:sz w:val="20"/>
          <w:szCs w:val="20"/>
          <w:color w:val="auto"/>
        </w:rPr>
      </w:pPr>
      <w:r>
        <w:rPr>
          <w:rFonts w:ascii="Arial" w:cs="Arial" w:eastAsia="Arial" w:hAnsi="Arial"/>
          <w:sz w:val="18"/>
          <w:szCs w:val="18"/>
          <w:color w:val="auto"/>
        </w:rPr>
        <w:t>In October 2014, the Group issued 250,000 Series A Convertible Redeemable Preferred Shares (“Series A Preferred Shares”) for an aggregate purchase price of US$7,000 thousand and 46,875 Series A-1 Convertible Redeemable Preferred Shares (“Series A-1 Preferred Shares”) for an aggregate purchase price of US$1,500 thousand.</w:t>
      </w:r>
    </w:p>
    <w:p>
      <w:pPr>
        <w:spacing w:after="0" w:line="181" w:lineRule="exact"/>
        <w:rPr>
          <w:sz w:val="20"/>
          <w:szCs w:val="20"/>
          <w:color w:val="auto"/>
        </w:rPr>
      </w:pPr>
    </w:p>
    <w:p>
      <w:pPr>
        <w:ind w:left="240" w:right="600" w:firstLine="438"/>
        <w:spacing w:after="0" w:line="275" w:lineRule="auto"/>
        <w:rPr>
          <w:sz w:val="20"/>
          <w:szCs w:val="20"/>
          <w:color w:val="auto"/>
        </w:rPr>
      </w:pPr>
      <w:r>
        <w:rPr>
          <w:rFonts w:ascii="Arial" w:cs="Arial" w:eastAsia="Arial" w:hAnsi="Arial"/>
          <w:sz w:val="18"/>
          <w:szCs w:val="18"/>
          <w:color w:val="auto"/>
        </w:rPr>
        <w:t>In May 2015, the Group issued 176,847 Series B Convertible Redeemable Preferred Shares (“Series B Preferred Shares”) for an aggregate purchase price of US$30,000 thousand.</w:t>
      </w:r>
    </w:p>
    <w:p>
      <w:pPr>
        <w:spacing w:after="0" w:line="170" w:lineRule="exact"/>
        <w:rPr>
          <w:sz w:val="20"/>
          <w:szCs w:val="20"/>
          <w:color w:val="auto"/>
        </w:rPr>
      </w:pPr>
    </w:p>
    <w:p>
      <w:pPr>
        <w:ind w:left="240" w:right="100" w:firstLine="438"/>
        <w:spacing w:after="0" w:line="275" w:lineRule="auto"/>
        <w:rPr>
          <w:sz w:val="20"/>
          <w:szCs w:val="20"/>
          <w:color w:val="auto"/>
        </w:rPr>
      </w:pPr>
      <w:r>
        <w:rPr>
          <w:rFonts w:ascii="Arial" w:cs="Arial" w:eastAsia="Arial" w:hAnsi="Arial"/>
          <w:sz w:val="18"/>
          <w:szCs w:val="18"/>
          <w:color w:val="auto"/>
        </w:rPr>
        <w:t>All the Series A, Series A-1 and Series B Preferred Shares were issued for cash consideration and have the same par value of US$0.005 per share at each issuance date.</w:t>
      </w:r>
    </w:p>
    <w:p>
      <w:pPr>
        <w:spacing w:after="0" w:line="170" w:lineRule="exact"/>
        <w:rPr>
          <w:sz w:val="20"/>
          <w:szCs w:val="20"/>
          <w:color w:val="auto"/>
        </w:rPr>
      </w:pPr>
    </w:p>
    <w:p>
      <w:pPr>
        <w:ind w:left="240" w:right="560" w:firstLine="438"/>
        <w:spacing w:after="0" w:line="309" w:lineRule="auto"/>
        <w:rPr>
          <w:sz w:val="20"/>
          <w:szCs w:val="20"/>
          <w:color w:val="auto"/>
        </w:rPr>
      </w:pPr>
      <w:r>
        <w:rPr>
          <w:rFonts w:ascii="Arial" w:cs="Arial" w:eastAsia="Arial" w:hAnsi="Arial"/>
          <w:sz w:val="16"/>
          <w:szCs w:val="16"/>
          <w:color w:val="auto"/>
        </w:rPr>
        <w:t>After a share split effective on September 22, 2016, the number of shares of Series A, Series A-1 and Series B Preferred Shares were proportionally split with par value of US$0.00001 per share. 125,000,000 Series A Preferred Shares, 23,437,500 Series A-1 Preferred Shares and 88,423,500 Series B Preferred Shares were issued in the Company’s amended Memorandum and Articles of Association.</w:t>
      </w:r>
    </w:p>
    <w:p>
      <w:pPr>
        <w:spacing w:after="0" w:line="149" w:lineRule="exact"/>
        <w:rPr>
          <w:sz w:val="20"/>
          <w:szCs w:val="20"/>
          <w:color w:val="auto"/>
        </w:rPr>
      </w:pPr>
    </w:p>
    <w:p>
      <w:pPr>
        <w:ind w:left="240" w:right="280" w:firstLine="438"/>
        <w:spacing w:after="0" w:line="275" w:lineRule="auto"/>
        <w:rPr>
          <w:sz w:val="20"/>
          <w:szCs w:val="20"/>
          <w:color w:val="auto"/>
        </w:rPr>
      </w:pPr>
      <w:r>
        <w:rPr>
          <w:rFonts w:ascii="Arial" w:cs="Arial" w:eastAsia="Arial" w:hAnsi="Arial"/>
          <w:sz w:val="18"/>
          <w:szCs w:val="18"/>
          <w:color w:val="auto"/>
        </w:rPr>
        <w:t>In May 2017, the Group issued 128,844,812 Series C Convertible Redeemable Preferred Shares (“Series C Preferred Shares”) for an aggregate purchase price of US$91,362 thousand and 12,225,282 Series C-1</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240" w:top="457"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 (Continued)</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Convertible Redeemable Preferred Shares (“Series C-1 Preferred Shares”) for an aggregate purchase price of US$12,609 thousand.</w:t>
      </w:r>
    </w:p>
    <w:p>
      <w:pPr>
        <w:spacing w:after="0" w:line="223" w:lineRule="exact"/>
        <w:rPr>
          <w:sz w:val="20"/>
          <w:szCs w:val="20"/>
          <w:color w:val="auto"/>
        </w:rPr>
      </w:pPr>
    </w:p>
    <w:p>
      <w:pPr>
        <w:ind w:left="240" w:right="60" w:firstLine="438"/>
        <w:spacing w:after="0" w:line="295" w:lineRule="auto"/>
        <w:rPr>
          <w:sz w:val="20"/>
          <w:szCs w:val="20"/>
          <w:color w:val="auto"/>
        </w:rPr>
      </w:pPr>
      <w:r>
        <w:rPr>
          <w:rFonts w:ascii="Arial" w:cs="Arial" w:eastAsia="Arial" w:hAnsi="Arial"/>
          <w:sz w:val="16"/>
          <w:szCs w:val="16"/>
          <w:color w:val="auto"/>
        </w:rPr>
        <w:t>Out of the total Series C Preferred Shares, i) 95,094,173 Series C Preferred Shares were issued for cash consideration of US$67,430 thousand; ii) 5,878,794 Series C Preferred Shares were converted from the convertible note with the principal amount of US$3,855 thousand plus accrued but unpaid interest of US$314 thousand at the price per share of US$0.71; and iii) 27,871,845 Series C Preferred Shares were issued from the repayment of an outstanding principal amount of US$19,274 thousand plus accrued but unpaid interest of US$490 thousand loaned by the fellow subsidiary of the investor of Series C Preferred Shares to the Company. The total Series C-1 Preferred Shares were issued of cash consideration.</w:t>
      </w:r>
    </w:p>
    <w:p>
      <w:pPr>
        <w:spacing w:after="0" w:line="158" w:lineRule="exact"/>
        <w:rPr>
          <w:sz w:val="20"/>
          <w:szCs w:val="20"/>
          <w:color w:val="auto"/>
        </w:rPr>
      </w:pPr>
    </w:p>
    <w:p>
      <w:pPr>
        <w:ind w:left="240" w:right="260" w:firstLine="438"/>
        <w:spacing w:after="0" w:line="275" w:lineRule="auto"/>
        <w:rPr>
          <w:sz w:val="20"/>
          <w:szCs w:val="20"/>
          <w:color w:val="auto"/>
        </w:rPr>
      </w:pPr>
      <w:r>
        <w:rPr>
          <w:rFonts w:ascii="Arial" w:cs="Arial" w:eastAsia="Arial" w:hAnsi="Arial"/>
          <w:sz w:val="18"/>
          <w:szCs w:val="18"/>
          <w:color w:val="auto"/>
        </w:rPr>
        <w:t>The Series A, Series A-1, Series B, Series C and Series C-1 Preferred Shares are collectively referred to as the “Preferred Shares”. All series of Preferred Shares have the same par value of US$0.00001 per share.</w:t>
      </w:r>
    </w:p>
    <w:p>
      <w:pPr>
        <w:spacing w:after="0" w:line="170" w:lineRule="exact"/>
        <w:rPr>
          <w:sz w:val="20"/>
          <w:szCs w:val="20"/>
          <w:color w:val="auto"/>
        </w:rPr>
      </w:pPr>
    </w:p>
    <w:p>
      <w:pPr>
        <w:ind w:left="240" w:firstLine="438"/>
        <w:spacing w:after="0" w:line="269" w:lineRule="auto"/>
        <w:rPr>
          <w:sz w:val="20"/>
          <w:szCs w:val="20"/>
          <w:color w:val="auto"/>
        </w:rPr>
      </w:pPr>
      <w:r>
        <w:rPr>
          <w:rFonts w:ascii="Arial" w:cs="Arial" w:eastAsia="Arial" w:hAnsi="Arial"/>
          <w:sz w:val="17"/>
          <w:szCs w:val="17"/>
          <w:color w:val="auto"/>
        </w:rPr>
        <w:t>The Group determined that the Series A, Series A-1, Series B, Series C and Series C-1 Preferred Shares should be classified as mezzanine equity upon their respective issuance since the Preferred Shares are contingently redeemable at any time on or after May 22, 2023 (the sixth anniversary of the issuance date of the Series C Preferred Shares) from the issuance date in the event that a qualified initial public offering (“QIPO”) has not occurred and the Preferred Shares have not been converted. The QIPO is defined as the closing of a firm commitment underwritten public offering of ordinary shares of the Company (or depositary receipts or depositary shares therefor) on the an internationally recognized securities exchange agreed to by the Company and the requisite holders at a public offering price per share corresponding to a valuation of the Company of at least US$1 billion or more on a fully diluted basis immediately following the completion of such offering, and also raising a financing amount no less than US$200 million (net of underwriters discounts and commissions).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major rights, preferences and privileges of the Preferred Shares issued by the Company are as follows:</w:t>
      </w:r>
    </w:p>
    <w:p>
      <w:pPr>
        <w:spacing w:after="0" w:line="33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29" w:lineRule="exact"/>
        <w:rPr>
          <w:sz w:val="20"/>
          <w:szCs w:val="20"/>
          <w:color w:val="auto"/>
        </w:rPr>
      </w:pPr>
    </w:p>
    <w:p>
      <w:pPr>
        <w:ind w:left="660" w:hanging="424"/>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Optional Conversion</w:t>
      </w:r>
    </w:p>
    <w:p>
      <w:pPr>
        <w:spacing w:after="0" w:line="115" w:lineRule="exact"/>
        <w:rPr>
          <w:sz w:val="20"/>
          <w:szCs w:val="20"/>
          <w:color w:val="auto"/>
        </w:rPr>
      </w:pPr>
    </w:p>
    <w:p>
      <w:pPr>
        <w:jc w:val="both"/>
        <w:ind w:left="240" w:right="180" w:firstLine="438"/>
        <w:spacing w:after="0" w:line="284" w:lineRule="auto"/>
        <w:rPr>
          <w:sz w:val="20"/>
          <w:szCs w:val="20"/>
          <w:color w:val="auto"/>
        </w:rPr>
      </w:pPr>
      <w:r>
        <w:rPr>
          <w:rFonts w:ascii="Arial" w:cs="Arial" w:eastAsia="Arial" w:hAnsi="Arial"/>
          <w:sz w:val="17"/>
          <w:szCs w:val="17"/>
          <w:color w:val="auto"/>
        </w:rPr>
        <w:t>Each of the Preferred Shares is convertible, at the option of the holder, into the Company’s ordinary shares at an initial conversion ratio of 1:1 at any time after the date of issuance of such Preferred Shares, subject to adjustments in the event of (i) share splits and combinations, (ii) ordinary share dividends and distributions, or (iii) reorganizations, mergers, consolidations, reclassifications, exchanges and substitutions.</w:t>
      </w:r>
    </w:p>
    <w:p>
      <w:pPr>
        <w:spacing w:after="0" w:line="313" w:lineRule="exact"/>
        <w:rPr>
          <w:sz w:val="20"/>
          <w:szCs w:val="20"/>
          <w:color w:val="auto"/>
        </w:rPr>
      </w:pPr>
    </w:p>
    <w:p>
      <w:pPr>
        <w:ind w:left="660" w:hanging="424"/>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Automatic Conversion</w:t>
      </w:r>
    </w:p>
    <w:p>
      <w:pPr>
        <w:spacing w:after="0" w:line="115" w:lineRule="exact"/>
        <w:rPr>
          <w:sz w:val="20"/>
          <w:szCs w:val="20"/>
          <w:color w:val="auto"/>
        </w:rPr>
      </w:pPr>
    </w:p>
    <w:p>
      <w:pPr>
        <w:ind w:left="240" w:right="620" w:firstLine="438"/>
        <w:spacing w:after="0" w:line="275" w:lineRule="auto"/>
        <w:rPr>
          <w:sz w:val="20"/>
          <w:szCs w:val="20"/>
          <w:color w:val="auto"/>
        </w:rPr>
      </w:pPr>
      <w:r>
        <w:rPr>
          <w:rFonts w:ascii="Arial" w:cs="Arial" w:eastAsia="Arial" w:hAnsi="Arial"/>
          <w:sz w:val="18"/>
          <w:szCs w:val="18"/>
          <w:color w:val="auto"/>
        </w:rPr>
        <w:t>Each Preferred Share shall automatically be converted into ordinary shares, at the then-effective preferred share conversion price upon the occurrence of a QIPO.</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Voting Rights</w:t>
      </w:r>
    </w:p>
    <w:p>
      <w:pPr>
        <w:spacing w:after="0" w:line="115" w:lineRule="exact"/>
        <w:rPr>
          <w:sz w:val="20"/>
          <w:szCs w:val="20"/>
          <w:color w:val="auto"/>
        </w:rPr>
      </w:pPr>
    </w:p>
    <w:p>
      <w:pPr>
        <w:ind w:left="240" w:firstLine="438"/>
        <w:spacing w:after="0" w:line="277" w:lineRule="auto"/>
        <w:rPr>
          <w:sz w:val="20"/>
          <w:szCs w:val="20"/>
          <w:color w:val="auto"/>
        </w:rPr>
      </w:pPr>
      <w:r>
        <w:rPr>
          <w:rFonts w:ascii="Arial" w:cs="Arial" w:eastAsia="Arial" w:hAnsi="Arial"/>
          <w:sz w:val="17"/>
          <w:szCs w:val="17"/>
          <w:color w:val="auto"/>
        </w:rPr>
        <w:t>The holder of each ordinary share issued and outstanding has one vote for each ordinary share held and the holder of each Preferred Shares has the number of votes as equals to the number of ordinary shares then issuable upon their conversion into ordinary shares. To the extent that applicable law, Memorandum and Articles of the Company allow any class or series of Preferred Shares to vote separately as a class or series with respect to any matters, such Preferred Shares shall vote separately as a class or series with respect to such matters.</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80"/>
          </w:cols>
          <w:pgMar w:left="240" w:top="458"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5020" w:hanging="444"/>
        <w:spacing w:after="0" w:line="383" w:lineRule="auto"/>
        <w:tabs>
          <w:tab w:leader="none" w:pos="672"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b w:val="1"/>
          <w:bCs w:val="1"/>
          <w:i w:val="1"/>
          <w:iCs w:val="1"/>
          <w:color w:val="auto"/>
        </w:rPr>
        <w:t>Redemption Rights</w:t>
      </w:r>
    </w:p>
    <w:p>
      <w:pPr>
        <w:spacing w:after="0" w:line="1"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Redemption Condition for Preferred Shares:</w:t>
      </w:r>
    </w:p>
    <w:p>
      <w:pPr>
        <w:spacing w:after="0" w:line="115"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The Preferred Shares are redeemable in the event of:</w:t>
      </w:r>
    </w:p>
    <w:p>
      <w:pPr>
        <w:spacing w:after="0" w:line="128" w:lineRule="exact"/>
        <w:rPr>
          <w:rFonts w:ascii="Arial" w:cs="Arial" w:eastAsia="Arial" w:hAnsi="Arial"/>
          <w:sz w:val="18"/>
          <w:szCs w:val="18"/>
          <w:b w:val="1"/>
          <w:bCs w:val="1"/>
          <w:color w:val="auto"/>
        </w:rPr>
      </w:pPr>
    </w:p>
    <w:p>
      <w:pPr>
        <w:ind w:left="1100" w:hanging="435"/>
        <w:spacing w:after="0" w:line="275" w:lineRule="auto"/>
        <w:tabs>
          <w:tab w:leader="none" w:pos="11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material breach of the transaction documents by any Group Company which involves fraud, intentional misconduct, or gross negligence, and which results in a material adverse effect;</w:t>
      </w:r>
    </w:p>
    <w:p>
      <w:pPr>
        <w:spacing w:after="0" w:line="76" w:lineRule="exact"/>
        <w:rPr>
          <w:rFonts w:ascii="Arial" w:cs="Arial" w:eastAsia="Arial" w:hAnsi="Arial"/>
          <w:sz w:val="18"/>
          <w:szCs w:val="18"/>
          <w:color w:val="auto"/>
        </w:rPr>
      </w:pPr>
    </w:p>
    <w:p>
      <w:pPr>
        <w:ind w:left="1100" w:hanging="435"/>
        <w:spacing w:after="0"/>
        <w:tabs>
          <w:tab w:leader="none" w:pos="11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failure of a QIPO to occur by the sixth anniversary of the issuance date of the Series C Preferred Shares; or</w:t>
      </w:r>
    </w:p>
    <w:p>
      <w:pPr>
        <w:spacing w:after="0" w:line="128" w:lineRule="exact"/>
        <w:rPr>
          <w:rFonts w:ascii="Arial" w:cs="Arial" w:eastAsia="Arial" w:hAnsi="Arial"/>
          <w:sz w:val="18"/>
          <w:szCs w:val="18"/>
          <w:color w:val="auto"/>
        </w:rPr>
      </w:pPr>
    </w:p>
    <w:p>
      <w:pPr>
        <w:ind w:left="1100" w:hanging="435"/>
        <w:spacing w:after="0"/>
        <w:tabs>
          <w:tab w:leader="none" w:pos="11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requested by a majority holders of the Preferred Shares.</w:t>
      </w:r>
    </w:p>
    <w:p>
      <w:pPr>
        <w:spacing w:after="0" w:line="223" w:lineRule="exact"/>
        <w:rPr>
          <w:sz w:val="20"/>
          <w:szCs w:val="20"/>
          <w:color w:val="auto"/>
        </w:rPr>
      </w:pPr>
    </w:p>
    <w:p>
      <w:pPr>
        <w:ind w:left="240" w:right="20" w:firstLine="438"/>
        <w:spacing w:after="0" w:line="275" w:lineRule="auto"/>
        <w:rPr>
          <w:sz w:val="20"/>
          <w:szCs w:val="20"/>
          <w:color w:val="auto"/>
        </w:rPr>
      </w:pPr>
      <w:r>
        <w:rPr>
          <w:rFonts w:ascii="Arial" w:cs="Arial" w:eastAsia="Arial" w:hAnsi="Arial"/>
          <w:sz w:val="18"/>
          <w:szCs w:val="18"/>
          <w:color w:val="auto"/>
        </w:rPr>
        <w:t>The redemption price of each Preferred Share shall be the sum of (i) the Preferred Shares issuance price, (ii) plus interest thereon at 6% per annum on the issuance price, compounded annually; and (iii) plus any accrued but unpaid dividends.</w:t>
      </w:r>
    </w:p>
    <w:p>
      <w:pPr>
        <w:spacing w:after="0" w:line="170" w:lineRule="exact"/>
        <w:rPr>
          <w:sz w:val="20"/>
          <w:szCs w:val="20"/>
          <w:color w:val="auto"/>
        </w:rPr>
      </w:pPr>
    </w:p>
    <w:p>
      <w:pPr>
        <w:jc w:val="both"/>
        <w:ind w:left="240" w:right="180" w:firstLine="438"/>
        <w:spacing w:after="0" w:line="300" w:lineRule="auto"/>
        <w:rPr>
          <w:sz w:val="20"/>
          <w:szCs w:val="20"/>
          <w:color w:val="auto"/>
        </w:rPr>
      </w:pPr>
      <w:r>
        <w:rPr>
          <w:rFonts w:ascii="Arial" w:cs="Arial" w:eastAsia="Arial" w:hAnsi="Arial"/>
          <w:sz w:val="16"/>
          <w:szCs w:val="16"/>
          <w:color w:val="auto"/>
        </w:rPr>
        <w:t>The Group accretes changes in the redemption value over the period from the date of issuance of the Preferred Shares to their respective earliest redemption date using effective interest method. Changes in the redemption value are considered to be changes in accounting estimates. The accretion will be recorded against retained earnings, or in the absence of retained earnings, by charges against additional paid-in capital. Once additional paid-in capital has been exhausted, additional charges should be recorded by increasing the accumulated deficit.</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Dividends Rights</w:t>
      </w:r>
    </w:p>
    <w:p>
      <w:pPr>
        <w:spacing w:after="0" w:line="115" w:lineRule="exact"/>
        <w:rPr>
          <w:sz w:val="20"/>
          <w:szCs w:val="20"/>
          <w:color w:val="auto"/>
        </w:rPr>
      </w:pPr>
    </w:p>
    <w:p>
      <w:pPr>
        <w:ind w:left="240" w:right="20" w:firstLine="438"/>
        <w:spacing w:after="0" w:line="305" w:lineRule="auto"/>
        <w:rPr>
          <w:sz w:val="20"/>
          <w:szCs w:val="20"/>
          <w:color w:val="auto"/>
        </w:rPr>
      </w:pPr>
      <w:r>
        <w:rPr>
          <w:rFonts w:ascii="Arial" w:cs="Arial" w:eastAsia="Arial" w:hAnsi="Arial"/>
          <w:sz w:val="17"/>
          <w:szCs w:val="17"/>
          <w:color w:val="auto"/>
        </w:rPr>
        <w:t>Each holders of the Preferred Shares shall be entitled to receive preferential dividends prior and in preference before, any dividend on the ordinary shares. Such dividends shall be payable only when, as, and if declared by the Board of Directors and shall be non-cumulative.</w:t>
      </w:r>
    </w:p>
    <w:p>
      <w:pPr>
        <w:spacing w:after="0" w:line="25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115" w:lineRule="exact"/>
        <w:rPr>
          <w:sz w:val="20"/>
          <w:szCs w:val="20"/>
          <w:color w:val="auto"/>
        </w:rPr>
      </w:pPr>
    </w:p>
    <w:p>
      <w:pPr>
        <w:ind w:left="240" w:right="280" w:firstLine="438"/>
        <w:spacing w:after="0" w:line="339" w:lineRule="auto"/>
        <w:rPr>
          <w:sz w:val="20"/>
          <w:szCs w:val="20"/>
          <w:color w:val="auto"/>
        </w:rPr>
      </w:pPr>
      <w:r>
        <w:rPr>
          <w:rFonts w:ascii="Arial" w:cs="Arial" w:eastAsia="Arial" w:hAnsi="Arial"/>
          <w:sz w:val="16"/>
          <w:szCs w:val="16"/>
          <w:color w:val="auto"/>
        </w:rPr>
        <w:t>In the event of any liquidation, dissolution or winding up of the Company, either voluntary or involuntary, all assets and funds of the Company legally available for distribution among holders of the outstanding Shares (on an as-converted to basis) in the following order and manner:</w:t>
      </w:r>
    </w:p>
    <w:p>
      <w:pPr>
        <w:spacing w:after="0" w:line="31" w:lineRule="exact"/>
        <w:rPr>
          <w:sz w:val="20"/>
          <w:szCs w:val="20"/>
          <w:color w:val="auto"/>
        </w:rPr>
      </w:pPr>
    </w:p>
    <w:p>
      <w:pPr>
        <w:ind w:left="1100" w:right="40" w:hanging="435"/>
        <w:spacing w:after="0" w:line="295" w:lineRule="auto"/>
        <w:tabs>
          <w:tab w:leader="none" w:pos="11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holders of the Series C Preferred Shares and Series C-1 Preferred Shares shall be entitled to receive for each Series C Preferred Share and Series C-1 Preferred Share held by such holder, on parity with each other and prior and in preference to any distribution of any of the assets or funds of the Company to the holders of any other class or series of shares by reason of their ownership of such shares, an amount equal to 100% of the Series C issuance price and Series C-1 issuance price, plus all accrued but unpaid dividends on such Series C Preferred Share and Series C-1 Preferred Share, as applicable (collectively, the “Series C Preference Amount”).</w:t>
      </w:r>
    </w:p>
    <w:p>
      <w:pPr>
        <w:spacing w:after="0" w:line="64" w:lineRule="exact"/>
        <w:rPr>
          <w:rFonts w:ascii="Arial" w:cs="Arial" w:eastAsia="Arial" w:hAnsi="Arial"/>
          <w:sz w:val="16"/>
          <w:szCs w:val="16"/>
          <w:color w:val="auto"/>
        </w:rPr>
      </w:pPr>
    </w:p>
    <w:p>
      <w:pPr>
        <w:ind w:left="1100" w:right="560" w:hanging="435"/>
        <w:spacing w:after="0" w:line="277" w:lineRule="auto"/>
        <w:tabs>
          <w:tab w:leader="none" w:pos="11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there are any assets or funds remaining after the aggregate Series C Preference Amount has been distributed or paid in full to the applicable holders of Series C Preferred Shares and Series C-1 Preferred Shares, the holders of the Series B Preferred Shares shall be entitled to receive for each Series B Preferred Share held by such holder, on parity with each other and prior and in preference to any distribution of any of the assets or funds of the Company to the holders of any other class or series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80"/>
          </w:cols>
          <w:pgMar w:left="240" w:top="457"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5000" w:hanging="444"/>
        <w:spacing w:after="0" w:line="383" w:lineRule="auto"/>
        <w:tabs>
          <w:tab w:leader="none" w:pos="672"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b w:val="1"/>
          <w:bCs w:val="1"/>
          <w:i w:val="1"/>
          <w:iCs w:val="1"/>
          <w:color w:val="auto"/>
        </w:rPr>
        <w:t>Liquidation Preferences (Continued)</w:t>
      </w:r>
    </w:p>
    <w:p>
      <w:pPr>
        <w:spacing w:after="0" w:line="1" w:lineRule="exact"/>
        <w:rPr>
          <w:sz w:val="20"/>
          <w:szCs w:val="20"/>
          <w:color w:val="auto"/>
        </w:rPr>
      </w:pPr>
    </w:p>
    <w:p>
      <w:pPr>
        <w:ind w:left="1100" w:right="40"/>
        <w:spacing w:after="0" w:line="295" w:lineRule="auto"/>
        <w:rPr>
          <w:sz w:val="20"/>
          <w:szCs w:val="20"/>
          <w:color w:val="auto"/>
        </w:rPr>
      </w:pPr>
      <w:r>
        <w:rPr>
          <w:rFonts w:ascii="Arial" w:cs="Arial" w:eastAsia="Arial" w:hAnsi="Arial"/>
          <w:sz w:val="16"/>
          <w:szCs w:val="16"/>
          <w:color w:val="auto"/>
        </w:rPr>
        <w:t>of shares by reason of their ownership of such shares, the amount equal to 100% of the Series B issuance price, plus all accrued but unpaid dividends on such Series B Preferred Share (collectively, the “Series B Preference Amount”). If the assets and funds thus distributed among the holders of the Series B Preferred Shares shall be insufficient to permit the payment to such holders of the full Series B Preference Amount, then the entire assets and funds of the Company legally available for distribution shall be distributed ratably among the holders of the Series B Preferred Shares in proportion to the Series B Preference Amount each such holder is otherwise entitled to receive.</w:t>
      </w:r>
    </w:p>
    <w:p>
      <w:pPr>
        <w:spacing w:after="0" w:line="64" w:lineRule="exact"/>
        <w:rPr>
          <w:sz w:val="20"/>
          <w:szCs w:val="20"/>
          <w:color w:val="auto"/>
        </w:rPr>
      </w:pPr>
    </w:p>
    <w:p>
      <w:pPr>
        <w:ind w:left="1100" w:right="20" w:hanging="435"/>
        <w:spacing w:after="0" w:line="286" w:lineRule="auto"/>
        <w:tabs>
          <w:tab w:leader="none" w:pos="11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there are any assets or funds remaining after the aggregate Series C Preference Amount and Series B Preference Amount has been distributed or paid in full to the applicable holders of Series C Preferred Shares, Series C-1 Preferred Shares and Series B Preferred Shares, respectively, the holders of the Series A Preferred Shares and Series A-1 Preferred Shares shall be entitled to receive for each Series A Preferred Share and Series A-1 Preferred Share held by such holder, on parity with each other and prior and in preference to any distribution of any of the remaining assets or funds of the Company to the holders of Ordinary Shares by reason of their ownership of such shares, the amount equal to 100% of the Series A issuance price or the Series A-1 issuance price, as applicable, plus all accrued but unpaid dividends on such Series A Preferred Share and Series A-1 Preferred Share, as applicable (collectively, the “Series A Preference Amount”). If the assets and funds thus distributed among the holders of the Series A Preferred Shares and Series A-1 Preferred Shares shall be insufficient to permit the payment to such holders of the full Series A Preference Amount, then the entire assets and funds of the Company legally available for distribution shall be distributed ratably among the holders of the Series A Preferred Shares and Series A-1 Preferred Shares in proportion to the Series A Preference Amount each such holder is otherwise entitled to receive.</w:t>
      </w:r>
    </w:p>
    <w:p>
      <w:pPr>
        <w:spacing w:after="0" w:line="72" w:lineRule="exact"/>
        <w:rPr>
          <w:rFonts w:ascii="Arial" w:cs="Arial" w:eastAsia="Arial" w:hAnsi="Arial"/>
          <w:sz w:val="16"/>
          <w:szCs w:val="16"/>
          <w:color w:val="auto"/>
        </w:rPr>
      </w:pPr>
    </w:p>
    <w:p>
      <w:pPr>
        <w:ind w:left="1100" w:right="100" w:hanging="435"/>
        <w:spacing w:after="0" w:line="257" w:lineRule="auto"/>
        <w:tabs>
          <w:tab w:leader="none" w:pos="11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there are any assets or funds remaining after the aggregate of the Series A Preference Amount, Series B Preference Amount and Series C Preference Amount have been distributed or paid in full to the applicable holders of Preferred Shares, the remaining assets and funds of the Company available for distribution to the shareholders shall be distributed ratably among the holders of the Preferred Shares (on an as-converted basis), together with the holders of the ordinary shares.</w:t>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Accounting of the Preferred Shares</w:t>
      </w:r>
    </w:p>
    <w:p>
      <w:pPr>
        <w:spacing w:after="0" w:line="115"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The Company classified the Preferred Shares as mezzanine equity in the consolidated balance sheets because they were redeemable at the holders’ option any time after a certain date and were contingently redeemable upon the occurrence of certain liquidation events outside of the Company’s control. The Preferred Shares are recorded initially at fair value, net of issuance costs.</w:t>
      </w:r>
    </w:p>
    <w:p>
      <w:pPr>
        <w:spacing w:after="0" w:line="181" w:lineRule="exact"/>
        <w:rPr>
          <w:sz w:val="20"/>
          <w:szCs w:val="20"/>
          <w:color w:val="auto"/>
        </w:rPr>
      </w:pPr>
    </w:p>
    <w:p>
      <w:pPr>
        <w:ind w:left="240" w:right="40" w:firstLine="438"/>
        <w:spacing w:after="0" w:line="275" w:lineRule="auto"/>
        <w:rPr>
          <w:sz w:val="20"/>
          <w:szCs w:val="20"/>
          <w:color w:val="auto"/>
        </w:rPr>
      </w:pPr>
      <w:r>
        <w:rPr>
          <w:rFonts w:ascii="Arial" w:cs="Arial" w:eastAsia="Arial" w:hAnsi="Arial"/>
          <w:sz w:val="18"/>
          <w:szCs w:val="18"/>
          <w:color w:val="auto"/>
        </w:rPr>
        <w:t>The Group determined that the embedded conversion features and the redemption features do not require bifurcation as they either are clearly and closely related to the Preferred Shares or do not meet the definition of a derivative.</w:t>
      </w:r>
    </w:p>
    <w:p>
      <w:pPr>
        <w:spacing w:after="0" w:line="170" w:lineRule="exact"/>
        <w:rPr>
          <w:sz w:val="20"/>
          <w:szCs w:val="20"/>
          <w:color w:val="auto"/>
        </w:rPr>
      </w:pPr>
    </w:p>
    <w:p>
      <w:pPr>
        <w:ind w:left="240" w:right="220" w:firstLine="438"/>
        <w:spacing w:after="0" w:line="257" w:lineRule="auto"/>
        <w:rPr>
          <w:sz w:val="20"/>
          <w:szCs w:val="20"/>
          <w:color w:val="auto"/>
        </w:rPr>
      </w:pPr>
      <w:r>
        <w:rPr>
          <w:rFonts w:ascii="Arial" w:cs="Arial" w:eastAsia="Arial" w:hAnsi="Arial"/>
          <w:sz w:val="18"/>
          <w:szCs w:val="18"/>
          <w:color w:val="auto"/>
        </w:rPr>
        <w:t>The Group has determined that there was no embedded beneficial conversion feature attributable to the Preferred Shares. In making this determination, the Group compared the initial effective conversion prices of the Preferred Shares and the fair values of the Group’s ordinary shares determined by the Group at the issuance dates. The initial effective conversion prices were greater than the fair values of the ordinary shares to which the Preferred Shares are convertible into at the issuance dates.</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60"/>
          </w:cols>
          <w:pgMar w:left="240" w:top="457" w:right="49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5360" w:hanging="444"/>
        <w:spacing w:after="0" w:line="383" w:lineRule="auto"/>
        <w:tabs>
          <w:tab w:leader="none" w:pos="67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b w:val="1"/>
          <w:bCs w:val="1"/>
          <w:i w:val="1"/>
          <w:iCs w:val="1"/>
          <w:color w:val="auto"/>
        </w:rPr>
        <w:t>Accounting of the Preferred Shares (Continued)</w:t>
      </w:r>
    </w:p>
    <w:p>
      <w:pPr>
        <w:spacing w:after="0" w:line="1"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The Group’s Preferred Shares activities for the years ended December 31, 2016 and 2017 are summarized below:</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66"/>
        </w:trPr>
        <w:tc>
          <w:tcPr>
            <w:tcW w:w="1240" w:type="dxa"/>
            <w:vAlign w:val="bottom"/>
          </w:tcPr>
          <w:p>
            <w:pPr>
              <w:spacing w:after="0"/>
              <w:rPr>
                <w:sz w:val="14"/>
                <w:szCs w:val="14"/>
                <w:color w:val="auto"/>
              </w:rPr>
            </w:pPr>
          </w:p>
        </w:tc>
        <w:tc>
          <w:tcPr>
            <w:tcW w:w="2040" w:type="dxa"/>
            <w:vAlign w:val="bottom"/>
            <w:gridSpan w:val="4"/>
          </w:tcPr>
          <w:p>
            <w:pPr>
              <w:ind w:left="220"/>
              <w:spacing w:after="0"/>
              <w:rPr>
                <w:sz w:val="20"/>
                <w:szCs w:val="20"/>
                <w:color w:val="auto"/>
              </w:rPr>
            </w:pPr>
            <w:r>
              <w:rPr>
                <w:rFonts w:ascii="Arial" w:cs="Arial" w:eastAsia="Arial" w:hAnsi="Arial"/>
                <w:sz w:val="14"/>
                <w:szCs w:val="14"/>
                <w:color w:val="auto"/>
              </w:rPr>
              <w:t>Series A Preferred Shares</w:t>
            </w:r>
          </w:p>
        </w:tc>
        <w:tc>
          <w:tcPr>
            <w:tcW w:w="1920" w:type="dxa"/>
            <w:vAlign w:val="bottom"/>
            <w:gridSpan w:val="4"/>
          </w:tcPr>
          <w:p>
            <w:pPr>
              <w:jc w:val="right"/>
              <w:ind w:right="220"/>
              <w:spacing w:after="0"/>
              <w:rPr>
                <w:sz w:val="20"/>
                <w:szCs w:val="20"/>
                <w:color w:val="auto"/>
              </w:rPr>
            </w:pPr>
            <w:r>
              <w:rPr>
                <w:rFonts w:ascii="Arial" w:cs="Arial" w:eastAsia="Arial" w:hAnsi="Arial"/>
                <w:sz w:val="14"/>
                <w:szCs w:val="14"/>
                <w:color w:val="auto"/>
                <w:w w:val="95"/>
              </w:rPr>
              <w:t>Series A-1 Preferred Shares</w:t>
            </w:r>
          </w:p>
        </w:tc>
        <w:tc>
          <w:tcPr>
            <w:tcW w:w="2040" w:type="dxa"/>
            <w:vAlign w:val="bottom"/>
            <w:gridSpan w:val="4"/>
          </w:tcPr>
          <w:p>
            <w:pPr>
              <w:jc w:val="right"/>
              <w:ind w:right="340"/>
              <w:spacing w:after="0"/>
              <w:rPr>
                <w:sz w:val="20"/>
                <w:szCs w:val="20"/>
                <w:color w:val="auto"/>
              </w:rPr>
            </w:pPr>
            <w:r>
              <w:rPr>
                <w:rFonts w:ascii="Arial" w:cs="Arial" w:eastAsia="Arial" w:hAnsi="Arial"/>
                <w:sz w:val="14"/>
                <w:szCs w:val="14"/>
                <w:color w:val="auto"/>
              </w:rPr>
              <w:t>Series B Preferred Shares</w:t>
            </w:r>
          </w:p>
        </w:tc>
        <w:tc>
          <w:tcPr>
            <w:tcW w:w="2120" w:type="dxa"/>
            <w:vAlign w:val="bottom"/>
            <w:gridSpan w:val="4"/>
          </w:tcPr>
          <w:p>
            <w:pPr>
              <w:ind w:left="260"/>
              <w:spacing w:after="0"/>
              <w:rPr>
                <w:sz w:val="20"/>
                <w:szCs w:val="20"/>
                <w:color w:val="auto"/>
              </w:rPr>
            </w:pPr>
            <w:r>
              <w:rPr>
                <w:rFonts w:ascii="Arial" w:cs="Arial" w:eastAsia="Arial" w:hAnsi="Arial"/>
                <w:sz w:val="14"/>
                <w:szCs w:val="14"/>
                <w:color w:val="auto"/>
              </w:rPr>
              <w:t>Series C Preferred Shares</w:t>
            </w:r>
          </w:p>
        </w:tc>
        <w:tc>
          <w:tcPr>
            <w:tcW w:w="1940" w:type="dxa"/>
            <w:vAlign w:val="bottom"/>
            <w:gridSpan w:val="4"/>
          </w:tcPr>
          <w:p>
            <w:pPr>
              <w:jc w:val="right"/>
              <w:ind w:right="200"/>
              <w:spacing w:after="0"/>
              <w:rPr>
                <w:sz w:val="20"/>
                <w:szCs w:val="20"/>
                <w:color w:val="auto"/>
              </w:rPr>
            </w:pPr>
            <w:r>
              <w:rPr>
                <w:rFonts w:ascii="Arial" w:cs="Arial" w:eastAsia="Arial" w:hAnsi="Arial"/>
                <w:sz w:val="14"/>
                <w:szCs w:val="14"/>
                <w:color w:val="auto"/>
                <w:w w:val="97"/>
              </w:rPr>
              <w:t>Series C-1 Preferred Shares</w:t>
            </w:r>
          </w:p>
        </w:tc>
      </w:tr>
      <w:tr>
        <w:trPr>
          <w:trHeight w:val="128"/>
        </w:trPr>
        <w:tc>
          <w:tcPr>
            <w:tcW w:w="1240" w:type="dxa"/>
            <w:vAlign w:val="bottom"/>
          </w:tcPr>
          <w:p>
            <w:pPr>
              <w:spacing w:after="0"/>
              <w:rPr>
                <w:sz w:val="11"/>
                <w:szCs w:val="11"/>
                <w:color w:val="auto"/>
              </w:rPr>
            </w:pPr>
          </w:p>
        </w:tc>
        <w:tc>
          <w:tcPr>
            <w:tcW w:w="1060" w:type="dxa"/>
            <w:vAlign w:val="bottom"/>
            <w:tcBorders>
              <w:top w:val="single" w:sz="8" w:color="auto"/>
            </w:tcBorders>
            <w:gridSpan w:val="2"/>
          </w:tcPr>
          <w:p>
            <w:pPr>
              <w:ind w:left="300"/>
              <w:spacing w:after="0" w:line="128" w:lineRule="exact"/>
              <w:rPr>
                <w:sz w:val="20"/>
                <w:szCs w:val="20"/>
                <w:color w:val="auto"/>
              </w:rPr>
            </w:pPr>
            <w:r>
              <w:rPr>
                <w:rFonts w:ascii="Arial" w:cs="Arial" w:eastAsia="Arial" w:hAnsi="Arial"/>
                <w:sz w:val="14"/>
                <w:szCs w:val="14"/>
                <w:color w:val="auto"/>
              </w:rPr>
              <w:t>No. of</w:t>
            </w:r>
          </w:p>
        </w:tc>
        <w:tc>
          <w:tcPr>
            <w:tcW w:w="860" w:type="dxa"/>
            <w:vAlign w:val="bottom"/>
            <w:tcBorders>
              <w:top w:val="single" w:sz="8" w:color="auto"/>
            </w:tcBorders>
          </w:tcPr>
          <w:p>
            <w:pPr>
              <w:jc w:val="right"/>
              <w:ind w:right="35"/>
              <w:spacing w:after="0" w:line="128" w:lineRule="exact"/>
              <w:rPr>
                <w:sz w:val="20"/>
                <w:szCs w:val="20"/>
                <w:color w:val="auto"/>
              </w:rPr>
            </w:pPr>
            <w:r>
              <w:rPr>
                <w:rFonts w:ascii="Arial" w:cs="Arial" w:eastAsia="Arial" w:hAnsi="Arial"/>
                <w:sz w:val="14"/>
                <w:szCs w:val="14"/>
                <w:color w:val="auto"/>
              </w:rPr>
              <w:t>Amount in</w:t>
            </w:r>
          </w:p>
        </w:tc>
        <w:tc>
          <w:tcPr>
            <w:tcW w:w="120" w:type="dxa"/>
            <w:vAlign w:val="bottom"/>
          </w:tcPr>
          <w:p>
            <w:pPr>
              <w:spacing w:after="0"/>
              <w:rPr>
                <w:sz w:val="11"/>
                <w:szCs w:val="11"/>
                <w:color w:val="auto"/>
              </w:rPr>
            </w:pPr>
          </w:p>
        </w:tc>
        <w:tc>
          <w:tcPr>
            <w:tcW w:w="960" w:type="dxa"/>
            <w:vAlign w:val="bottom"/>
            <w:tcBorders>
              <w:top w:val="single" w:sz="8" w:color="auto"/>
            </w:tcBorders>
            <w:gridSpan w:val="2"/>
          </w:tcPr>
          <w:p>
            <w:pPr>
              <w:ind w:left="240"/>
              <w:spacing w:after="0" w:line="128" w:lineRule="exact"/>
              <w:rPr>
                <w:sz w:val="20"/>
                <w:szCs w:val="20"/>
                <w:color w:val="auto"/>
              </w:rPr>
            </w:pPr>
            <w:r>
              <w:rPr>
                <w:rFonts w:ascii="Arial" w:cs="Arial" w:eastAsia="Arial" w:hAnsi="Arial"/>
                <w:sz w:val="14"/>
                <w:szCs w:val="14"/>
                <w:color w:val="auto"/>
              </w:rPr>
              <w:t>No. of</w:t>
            </w:r>
          </w:p>
        </w:tc>
        <w:tc>
          <w:tcPr>
            <w:tcW w:w="860" w:type="dxa"/>
            <w:vAlign w:val="bottom"/>
            <w:tcBorders>
              <w:top w:val="single" w:sz="8" w:color="auto"/>
            </w:tcBorders>
          </w:tcPr>
          <w:p>
            <w:pPr>
              <w:jc w:val="right"/>
              <w:ind w:right="35"/>
              <w:spacing w:after="0" w:line="128" w:lineRule="exact"/>
              <w:rPr>
                <w:sz w:val="20"/>
                <w:szCs w:val="20"/>
                <w:color w:val="auto"/>
              </w:rPr>
            </w:pPr>
            <w:r>
              <w:rPr>
                <w:rFonts w:ascii="Arial" w:cs="Arial" w:eastAsia="Arial" w:hAnsi="Arial"/>
                <w:sz w:val="14"/>
                <w:szCs w:val="14"/>
                <w:color w:val="auto"/>
              </w:rPr>
              <w:t>Amount in</w:t>
            </w:r>
          </w:p>
        </w:tc>
        <w:tc>
          <w:tcPr>
            <w:tcW w:w="10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360"/>
              <w:spacing w:after="0" w:line="128" w:lineRule="exact"/>
              <w:rPr>
                <w:sz w:val="20"/>
                <w:szCs w:val="20"/>
                <w:color w:val="auto"/>
              </w:rPr>
            </w:pPr>
            <w:r>
              <w:rPr>
                <w:rFonts w:ascii="Arial" w:cs="Arial" w:eastAsia="Arial" w:hAnsi="Arial"/>
                <w:sz w:val="14"/>
                <w:szCs w:val="14"/>
                <w:color w:val="auto"/>
              </w:rPr>
              <w:t>No. of</w:t>
            </w:r>
          </w:p>
        </w:tc>
        <w:tc>
          <w:tcPr>
            <w:tcW w:w="940" w:type="dxa"/>
            <w:vAlign w:val="bottom"/>
            <w:tcBorders>
              <w:top w:val="single" w:sz="8" w:color="auto"/>
            </w:tcBorders>
          </w:tcPr>
          <w:p>
            <w:pPr>
              <w:jc w:val="right"/>
              <w:ind w:right="75"/>
              <w:spacing w:after="0" w:line="128" w:lineRule="exact"/>
              <w:rPr>
                <w:sz w:val="20"/>
                <w:szCs w:val="20"/>
                <w:color w:val="auto"/>
              </w:rPr>
            </w:pPr>
            <w:r>
              <w:rPr>
                <w:rFonts w:ascii="Arial" w:cs="Arial" w:eastAsia="Arial" w:hAnsi="Arial"/>
                <w:sz w:val="14"/>
                <w:szCs w:val="14"/>
                <w:color w:val="auto"/>
              </w:rPr>
              <w:t>Amount in</w:t>
            </w:r>
          </w:p>
        </w:tc>
        <w:tc>
          <w:tcPr>
            <w:tcW w:w="120" w:type="dxa"/>
            <w:vAlign w:val="bottom"/>
          </w:tcPr>
          <w:p>
            <w:pPr>
              <w:spacing w:after="0"/>
              <w:rPr>
                <w:sz w:val="11"/>
                <w:szCs w:val="11"/>
                <w:color w:val="auto"/>
              </w:rPr>
            </w:pPr>
          </w:p>
        </w:tc>
        <w:tc>
          <w:tcPr>
            <w:tcW w:w="1060" w:type="dxa"/>
            <w:vAlign w:val="bottom"/>
            <w:tcBorders>
              <w:top w:val="single" w:sz="8" w:color="auto"/>
            </w:tcBorders>
            <w:gridSpan w:val="2"/>
          </w:tcPr>
          <w:p>
            <w:pPr>
              <w:ind w:left="280"/>
              <w:spacing w:after="0" w:line="128" w:lineRule="exact"/>
              <w:rPr>
                <w:sz w:val="20"/>
                <w:szCs w:val="20"/>
                <w:color w:val="auto"/>
              </w:rPr>
            </w:pPr>
            <w:r>
              <w:rPr>
                <w:rFonts w:ascii="Arial" w:cs="Arial" w:eastAsia="Arial" w:hAnsi="Arial"/>
                <w:sz w:val="14"/>
                <w:szCs w:val="14"/>
                <w:color w:val="auto"/>
              </w:rPr>
              <w:t>No. of</w:t>
            </w:r>
          </w:p>
        </w:tc>
        <w:tc>
          <w:tcPr>
            <w:tcW w:w="94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color w:val="auto"/>
                <w:w w:val="98"/>
              </w:rPr>
              <w:t>Amount in</w:t>
            </w:r>
          </w:p>
        </w:tc>
        <w:tc>
          <w:tcPr>
            <w:tcW w:w="120" w:type="dxa"/>
            <w:vAlign w:val="bottom"/>
          </w:tcPr>
          <w:p>
            <w:pPr>
              <w:spacing w:after="0"/>
              <w:rPr>
                <w:sz w:val="11"/>
                <w:szCs w:val="11"/>
                <w:color w:val="auto"/>
              </w:rPr>
            </w:pPr>
          </w:p>
        </w:tc>
        <w:tc>
          <w:tcPr>
            <w:tcW w:w="960" w:type="dxa"/>
            <w:vAlign w:val="bottom"/>
            <w:tcBorders>
              <w:top w:val="single" w:sz="8" w:color="auto"/>
            </w:tcBorders>
            <w:gridSpan w:val="2"/>
          </w:tcPr>
          <w:p>
            <w:pPr>
              <w:ind w:left="240"/>
              <w:spacing w:after="0" w:line="128" w:lineRule="exact"/>
              <w:rPr>
                <w:sz w:val="20"/>
                <w:szCs w:val="20"/>
                <w:color w:val="auto"/>
              </w:rPr>
            </w:pPr>
            <w:r>
              <w:rPr>
                <w:rFonts w:ascii="Arial" w:cs="Arial" w:eastAsia="Arial" w:hAnsi="Arial"/>
                <w:sz w:val="14"/>
                <w:szCs w:val="14"/>
                <w:color w:val="auto"/>
              </w:rPr>
              <w:t>No. of</w:t>
            </w:r>
          </w:p>
        </w:tc>
        <w:tc>
          <w:tcPr>
            <w:tcW w:w="960" w:type="dxa"/>
            <w:vAlign w:val="bottom"/>
            <w:tcBorders>
              <w:top w:val="single" w:sz="8" w:color="auto"/>
            </w:tcBorders>
          </w:tcPr>
          <w:p>
            <w:pPr>
              <w:jc w:val="right"/>
              <w:ind w:right="95"/>
              <w:spacing w:after="0" w:line="128" w:lineRule="exact"/>
              <w:rPr>
                <w:sz w:val="20"/>
                <w:szCs w:val="20"/>
                <w:color w:val="auto"/>
              </w:rPr>
            </w:pPr>
            <w:r>
              <w:rPr>
                <w:rFonts w:ascii="Arial" w:cs="Arial" w:eastAsia="Arial" w:hAnsi="Arial"/>
                <w:sz w:val="14"/>
                <w:szCs w:val="14"/>
                <w:color w:val="auto"/>
              </w:rPr>
              <w:t>Amount in</w:t>
            </w:r>
          </w:p>
        </w:tc>
        <w:tc>
          <w:tcPr>
            <w:tcW w:w="20" w:type="dxa"/>
            <w:vAlign w:val="bottom"/>
          </w:tcPr>
          <w:p>
            <w:pPr>
              <w:spacing w:after="0"/>
              <w:rPr>
                <w:sz w:val="11"/>
                <w:szCs w:val="11"/>
                <w:color w:val="auto"/>
              </w:rPr>
            </w:pPr>
          </w:p>
        </w:tc>
      </w:tr>
      <w:tr>
        <w:trPr>
          <w:trHeight w:val="175"/>
        </w:trPr>
        <w:tc>
          <w:tcPr>
            <w:tcW w:w="124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HK$</w:t>
            </w:r>
          </w:p>
        </w:tc>
        <w:tc>
          <w:tcPr>
            <w:tcW w:w="960" w:type="dxa"/>
            <w:vAlign w:val="bottom"/>
            <w:gridSpan w:val="2"/>
          </w:tcPr>
          <w:p>
            <w:pPr>
              <w:ind w:left="240"/>
              <w:spacing w:after="0"/>
              <w:rPr>
                <w:sz w:val="20"/>
                <w:szCs w:val="20"/>
                <w:color w:val="auto"/>
              </w:rPr>
            </w:pPr>
            <w:r>
              <w:rPr>
                <w:rFonts w:ascii="Arial" w:cs="Arial" w:eastAsia="Arial" w:hAnsi="Arial"/>
                <w:sz w:val="14"/>
                <w:szCs w:val="14"/>
                <w:color w:val="auto"/>
              </w:rPr>
              <w:t>shares</w:t>
            </w:r>
          </w:p>
        </w:tc>
        <w:tc>
          <w:tcPr>
            <w:tcW w:w="960" w:type="dxa"/>
            <w:vAlign w:val="bottom"/>
            <w:gridSpan w:val="2"/>
          </w:tcPr>
          <w:p>
            <w:pPr>
              <w:ind w:left="280"/>
              <w:spacing w:after="0"/>
              <w:rPr>
                <w:sz w:val="20"/>
                <w:szCs w:val="20"/>
                <w:color w:val="auto"/>
              </w:rPr>
            </w:pPr>
            <w:r>
              <w:rPr>
                <w:rFonts w:ascii="Arial" w:cs="Arial" w:eastAsia="Arial" w:hAnsi="Arial"/>
                <w:sz w:val="14"/>
                <w:szCs w:val="14"/>
                <w:color w:val="auto"/>
              </w:rPr>
              <w:t>HK$</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HK$</w:t>
            </w: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HK$</w:t>
            </w:r>
          </w:p>
        </w:tc>
        <w:tc>
          <w:tcPr>
            <w:tcW w:w="960" w:type="dxa"/>
            <w:vAlign w:val="bottom"/>
            <w:gridSpan w:val="2"/>
          </w:tcPr>
          <w:p>
            <w:pPr>
              <w:ind w:left="240"/>
              <w:spacing w:after="0"/>
              <w:rPr>
                <w:sz w:val="20"/>
                <w:szCs w:val="20"/>
                <w:color w:val="auto"/>
              </w:rPr>
            </w:pPr>
            <w:r>
              <w:rPr>
                <w:rFonts w:ascii="Arial" w:cs="Arial" w:eastAsia="Arial" w:hAnsi="Arial"/>
                <w:sz w:val="14"/>
                <w:szCs w:val="14"/>
                <w:color w:val="auto"/>
              </w:rPr>
              <w:t>shares</w:t>
            </w:r>
          </w:p>
        </w:tc>
        <w:tc>
          <w:tcPr>
            <w:tcW w:w="980" w:type="dxa"/>
            <w:vAlign w:val="bottom"/>
            <w:gridSpan w:val="2"/>
          </w:tcPr>
          <w:p>
            <w:pPr>
              <w:ind w:left="340"/>
              <w:spacing w:after="0"/>
              <w:rPr>
                <w:sz w:val="20"/>
                <w:szCs w:val="20"/>
                <w:color w:val="auto"/>
              </w:rPr>
            </w:pPr>
            <w:r>
              <w:rPr>
                <w:rFonts w:ascii="Arial" w:cs="Arial" w:eastAsia="Arial" w:hAnsi="Arial"/>
                <w:sz w:val="14"/>
                <w:szCs w:val="14"/>
                <w:color w:val="auto"/>
              </w:rPr>
              <w:t>HK$</w:t>
            </w:r>
          </w:p>
        </w:tc>
      </w:tr>
      <w:tr>
        <w:trPr>
          <w:trHeight w:val="200"/>
        </w:trPr>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5"/>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December 31,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125,000,000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58,246,523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23,437,500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12,481,402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88,423,500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240,518,000</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0"/>
        </w:trPr>
        <w:tc>
          <w:tcPr>
            <w:tcW w:w="1240" w:type="dxa"/>
            <w:vAlign w:val="bottom"/>
          </w:tcPr>
          <w:p>
            <w:pPr>
              <w:spacing w:after="0" w:line="201" w:lineRule="exact"/>
              <w:rPr>
                <w:sz w:val="20"/>
                <w:szCs w:val="20"/>
                <w:color w:val="auto"/>
              </w:rPr>
            </w:pPr>
            <w:r>
              <w:rPr>
                <w:rFonts w:ascii="Arial" w:cs="Arial" w:eastAsia="Arial" w:hAnsi="Arial"/>
                <w:sz w:val="18"/>
                <w:szCs w:val="18"/>
                <w:color w:val="auto"/>
                <w:w w:val="88"/>
              </w:rPr>
              <w:t>Preferred Shares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12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1240" w:type="dxa"/>
            <w:vAlign w:val="bottom"/>
          </w:tcPr>
          <w:p>
            <w:pPr>
              <w:ind w:left="180"/>
              <w:spacing w:after="0"/>
              <w:rPr>
                <w:sz w:val="20"/>
                <w:szCs w:val="20"/>
                <w:color w:val="auto"/>
              </w:rPr>
            </w:pPr>
            <w:r>
              <w:rPr>
                <w:rFonts w:ascii="Arial" w:cs="Arial" w:eastAsia="Arial" w:hAnsi="Arial"/>
                <w:sz w:val="18"/>
                <w:szCs w:val="18"/>
                <w:color w:val="auto"/>
              </w:rPr>
              <w:t>value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24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3,259,872</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698,544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13,970,880</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00"/>
        </w:trPr>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5"/>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December 31,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125,000,000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61,506,395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23,437,500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13,179,946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88,423,500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254,488,880</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Issuance of</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1240" w:type="dxa"/>
            <w:vAlign w:val="bottom"/>
          </w:tcPr>
          <w:p>
            <w:pPr>
              <w:ind w:left="180"/>
              <w:spacing w:after="0"/>
              <w:rPr>
                <w:sz w:val="20"/>
                <w:szCs w:val="20"/>
                <w:color w:val="auto"/>
              </w:rPr>
            </w:pPr>
            <w:r>
              <w:rPr>
                <w:rFonts w:ascii="Arial" w:cs="Arial" w:eastAsia="Arial" w:hAnsi="Arial"/>
                <w:sz w:val="18"/>
                <w:szCs w:val="18"/>
                <w:color w:val="auto"/>
              </w:rPr>
              <w:t>Preferred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240" w:type="dxa"/>
            <w:vAlign w:val="bottom"/>
          </w:tcPr>
          <w:p>
            <w:pPr>
              <w:ind w:left="180"/>
              <w:spacing w:after="0"/>
              <w:rPr>
                <w:sz w:val="20"/>
                <w:szCs w:val="20"/>
                <w:color w:val="auto"/>
              </w:rPr>
            </w:pPr>
            <w:r>
              <w:rPr>
                <w:rFonts w:ascii="Arial" w:cs="Arial" w:eastAsia="Arial" w:hAnsi="Arial"/>
                <w:sz w:val="18"/>
                <w:szCs w:val="18"/>
                <w:color w:val="auto"/>
              </w:rPr>
              <w:t>Shares</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w w:val="97"/>
              </w:rPr>
              <w:t>128,844,812</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708,765,649</w:t>
            </w:r>
          </w:p>
        </w:tc>
        <w:tc>
          <w:tcPr>
            <w:tcW w:w="12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w w:val="99"/>
              </w:rPr>
              <w:t>12,225,282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97,818,708</w:t>
            </w:r>
          </w:p>
        </w:tc>
      </w:tr>
      <w:tr>
        <w:trPr>
          <w:trHeight w:val="200"/>
        </w:trPr>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Preferred Shares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5"/>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5"/>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3,273,858</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701,541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14,030,820</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26,106,072</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3,602,966</w:t>
            </w:r>
          </w:p>
        </w:tc>
      </w:t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Balances at</w:t>
            </w: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1240" w:type="dxa"/>
            <w:vAlign w:val="bottom"/>
          </w:tcPr>
          <w:p>
            <w:pPr>
              <w:ind w:left="180"/>
              <w:spacing w:after="0"/>
              <w:rPr>
                <w:sz w:val="20"/>
                <w:szCs w:val="20"/>
                <w:color w:val="auto"/>
              </w:rPr>
            </w:pPr>
            <w:r>
              <w:rPr>
                <w:rFonts w:ascii="Arial" w:cs="Arial" w:eastAsia="Arial" w:hAnsi="Arial"/>
                <w:sz w:val="18"/>
                <w:szCs w:val="18"/>
                <w:color w:val="auto"/>
                <w:w w:val="91"/>
              </w:rPr>
              <w:t>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240" w:type="dxa"/>
            <w:vAlign w:val="bottom"/>
          </w:tcPr>
          <w:p>
            <w:pPr>
              <w:ind w:left="180"/>
              <w:spacing w:after="0"/>
              <w:rPr>
                <w:sz w:val="20"/>
                <w:szCs w:val="20"/>
                <w:color w:val="auto"/>
              </w:rPr>
            </w:pPr>
            <w:r>
              <w:rPr>
                <w:rFonts w:ascii="Arial" w:cs="Arial" w:eastAsia="Arial" w:hAnsi="Arial"/>
                <w:sz w:val="18"/>
                <w:szCs w:val="18"/>
                <w:color w:val="auto"/>
              </w:rPr>
              <w:t>2017</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125,000,000</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64,780,253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23,437,500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13,881,487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88,423,500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268,519,700</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w w:val="97"/>
              </w:rPr>
              <w:t>128,844,812</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734,871,721</w:t>
            </w:r>
          </w:p>
        </w:tc>
        <w:tc>
          <w:tcPr>
            <w:tcW w:w="12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w w:val="99"/>
              </w:rPr>
              <w:t>12,225,282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101,421,674</w:t>
            </w:r>
          </w:p>
        </w:tc>
      </w:tr>
      <w:tr>
        <w:trPr>
          <w:trHeight w:val="20"/>
        </w:trPr>
        <w:tc>
          <w:tcPr>
            <w:tcW w:w="1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F-40</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520"/>
          </w:cols>
          <w:pgMar w:left="240" w:top="458" w:right="1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1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Share-based compensation was recognized in operating expenses for the years ended December 31, 2016 and 2017 as follows:</w:t>
      </w:r>
    </w:p>
    <w:p>
      <w:pPr>
        <w:spacing w:after="0" w:line="241"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21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41"/>
        </w:trPr>
        <w:tc>
          <w:tcPr>
            <w:tcW w:w="6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1"/>
        </w:trPr>
        <w:tc>
          <w:tcPr>
            <w:tcW w:w="6140" w:type="dxa"/>
            <w:vAlign w:val="bottom"/>
          </w:tcPr>
          <w:p>
            <w:pPr>
              <w:spacing w:after="0"/>
              <w:rPr>
                <w:sz w:val="12"/>
                <w:szCs w:val="12"/>
                <w:color w:val="auto"/>
              </w:rPr>
            </w:pPr>
          </w:p>
        </w:tc>
        <w:tc>
          <w:tcPr>
            <w:tcW w:w="2120" w:type="dxa"/>
            <w:vAlign w:val="bottom"/>
            <w:gridSpan w:val="4"/>
          </w:tcPr>
          <w:p>
            <w:pPr>
              <w:jc w:val="right"/>
              <w:ind w:right="374"/>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7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8,335</w:t>
            </w:r>
          </w:p>
        </w:tc>
        <w:tc>
          <w:tcPr>
            <w:tcW w:w="7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8,854</w:t>
            </w: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7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Total share-based compensation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9,155</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9,769</w:t>
            </w:r>
          </w:p>
        </w:tc>
        <w:tc>
          <w:tcPr>
            <w:tcW w:w="6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Share Options</w:t>
      </w:r>
    </w:p>
    <w:p>
      <w:pPr>
        <w:spacing w:after="0" w:line="115" w:lineRule="exact"/>
        <w:rPr>
          <w:sz w:val="20"/>
          <w:szCs w:val="20"/>
          <w:color w:val="auto"/>
        </w:rPr>
      </w:pPr>
    </w:p>
    <w:p>
      <w:pPr>
        <w:jc w:val="both"/>
        <w:ind w:left="240" w:firstLine="438"/>
        <w:spacing w:after="0" w:line="255" w:lineRule="auto"/>
        <w:rPr>
          <w:sz w:val="20"/>
          <w:szCs w:val="20"/>
          <w:color w:val="auto"/>
        </w:rPr>
      </w:pPr>
      <w:r>
        <w:rPr>
          <w:rFonts w:ascii="Arial" w:cs="Arial" w:eastAsia="Arial" w:hAnsi="Arial"/>
          <w:sz w:val="18"/>
          <w:szCs w:val="18"/>
          <w:color w:val="auto"/>
        </w:rPr>
        <w:t>In October, 2014, the Board of Directors of the Group approved the establishment of Share Incentive Plan, the purpose of which is to provide an incentive for employees contributing to the Group. The Share Incentive Plan shall be valid and effective until October 30, 2024. The maximum number of shares that may be issued pursuant to all awards (including incentive share options) under Share Incentive Plan shall be 135,032,132 shares. Option awards are granted with an exercise price determined by the Board of Directors. Those option awards generally vest over a period of four or five years and expire in ten years.</w:t>
      </w:r>
    </w:p>
    <w:p>
      <w:pPr>
        <w:spacing w:after="0" w:line="189" w:lineRule="exact"/>
        <w:rPr>
          <w:sz w:val="20"/>
          <w:szCs w:val="20"/>
          <w:color w:val="auto"/>
        </w:rPr>
      </w:pPr>
    </w:p>
    <w:p>
      <w:pPr>
        <w:ind w:left="240" w:right="220" w:firstLine="438"/>
        <w:spacing w:after="0" w:line="275" w:lineRule="auto"/>
        <w:rPr>
          <w:sz w:val="20"/>
          <w:szCs w:val="20"/>
          <w:color w:val="auto"/>
        </w:rPr>
      </w:pPr>
      <w:r>
        <w:rPr>
          <w:rFonts w:ascii="Arial" w:cs="Arial" w:eastAsia="Arial" w:hAnsi="Arial"/>
          <w:sz w:val="18"/>
          <w:szCs w:val="18"/>
          <w:color w:val="auto"/>
        </w:rPr>
        <w:t>For the years ended December 31, 2016 and 2017, the Group granted 7,783,301 and 217,455 share options to employees pursuant to the Share Incentive Plan.</w:t>
      </w:r>
    </w:p>
    <w:p>
      <w:pPr>
        <w:spacing w:after="0" w:line="170" w:lineRule="exact"/>
        <w:rPr>
          <w:sz w:val="20"/>
          <w:szCs w:val="20"/>
          <w:color w:val="auto"/>
        </w:rPr>
      </w:pPr>
    </w:p>
    <w:p>
      <w:pPr>
        <w:ind w:left="240" w:right="120" w:firstLine="438"/>
        <w:spacing w:after="0" w:line="275" w:lineRule="auto"/>
        <w:rPr>
          <w:sz w:val="20"/>
          <w:szCs w:val="20"/>
          <w:color w:val="auto"/>
        </w:rPr>
      </w:pPr>
      <w:r>
        <w:rPr>
          <w:rFonts w:ascii="Arial" w:cs="Arial" w:eastAsia="Arial" w:hAnsi="Arial"/>
          <w:sz w:val="18"/>
          <w:szCs w:val="18"/>
          <w:color w:val="auto"/>
        </w:rPr>
        <w:t>A summary of the stock option activity under the Share Incentive Plan for the years ended December 31, 2016 and 2017 is included in the table below.</w:t>
      </w:r>
    </w:p>
    <w:p>
      <w:pPr>
        <w:spacing w:after="0" w:line="179"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Options granted</w:t>
            </w:r>
          </w:p>
        </w:tc>
        <w:tc>
          <w:tcPr>
            <w:tcW w:w="1660" w:type="dxa"/>
            <w:vAlign w:val="bottom"/>
          </w:tcPr>
          <w:p>
            <w:pPr>
              <w:jc w:val="right"/>
              <w:ind w:right="56"/>
              <w:spacing w:after="0"/>
              <w:rPr>
                <w:sz w:val="20"/>
                <w:szCs w:val="20"/>
                <w:color w:val="auto"/>
              </w:rPr>
            </w:pPr>
            <w:r>
              <w:rPr>
                <w:rFonts w:ascii="Arial" w:cs="Arial" w:eastAsia="Arial" w:hAnsi="Arial"/>
                <w:sz w:val="14"/>
                <w:szCs w:val="14"/>
                <w:color w:val="auto"/>
              </w:rPr>
              <w:t>Weighted average</w:t>
            </w:r>
          </w:p>
        </w:tc>
      </w:tr>
      <w:tr>
        <w:trPr>
          <w:trHeight w:val="166"/>
        </w:trPr>
        <w:tc>
          <w:tcPr>
            <w:tcW w:w="3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share Number</w:t>
            </w:r>
          </w:p>
        </w:tc>
        <w:tc>
          <w:tcPr>
            <w:tcW w:w="1660" w:type="dxa"/>
            <w:vAlign w:val="bottom"/>
          </w:tcPr>
          <w:p>
            <w:pPr>
              <w:jc w:val="right"/>
              <w:spacing w:after="0"/>
              <w:rPr>
                <w:sz w:val="20"/>
                <w:szCs w:val="20"/>
                <w:color w:val="auto"/>
              </w:rPr>
            </w:pPr>
            <w:r>
              <w:rPr>
                <w:rFonts w:ascii="Arial" w:cs="Arial" w:eastAsia="Arial" w:hAnsi="Arial"/>
                <w:sz w:val="14"/>
                <w:szCs w:val="14"/>
                <w:color w:val="auto"/>
              </w:rPr>
              <w:t>exercise price (US$)</w:t>
            </w:r>
          </w:p>
        </w:tc>
      </w:tr>
      <w:tr>
        <w:trPr>
          <w:trHeight w:val="215"/>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103,624,019</w:t>
            </w: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0.0057</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Granted</w:t>
            </w:r>
          </w:p>
        </w:tc>
        <w:tc>
          <w:tcPr>
            <w:tcW w:w="2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7,783,301</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0.1648</w:t>
            </w:r>
          </w:p>
        </w:tc>
      </w:tr>
      <w:tr>
        <w:trPr>
          <w:trHeight w:val="215"/>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3420" w:type="dxa"/>
            <w:vAlign w:val="bottom"/>
            <w:gridSpan w:val="3"/>
            <w:shd w:val="clear" w:color="auto" w:fill="CCEEFF"/>
          </w:tcPr>
          <w:p>
            <w:pPr>
              <w:ind w:left="2120"/>
              <w:spacing w:after="0"/>
              <w:rPr>
                <w:sz w:val="20"/>
                <w:szCs w:val="20"/>
                <w:color w:val="auto"/>
              </w:rPr>
            </w:pPr>
            <w:r>
              <w:rPr>
                <w:rFonts w:ascii="Arial" w:cs="Arial" w:eastAsia="Arial" w:hAnsi="Arial"/>
                <w:sz w:val="18"/>
                <w:szCs w:val="18"/>
                <w:color w:val="auto"/>
              </w:rPr>
              <w:t>111,407,320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0.0168</w:t>
            </w: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Granted</w:t>
            </w:r>
          </w:p>
        </w:tc>
        <w:tc>
          <w:tcPr>
            <w:tcW w:w="20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217,455</w:t>
            </w: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0.9188</w:t>
            </w:r>
          </w:p>
        </w:tc>
      </w:tr>
      <w:tr>
        <w:trPr>
          <w:trHeight w:val="215"/>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20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111,624,775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0.0186</w:t>
            </w:r>
          </w:p>
        </w:tc>
      </w:tr>
      <w:tr>
        <w:trPr>
          <w:trHeight w:val="370"/>
        </w:trPr>
        <w:tc>
          <w:tcPr>
            <w:tcW w:w="3240" w:type="dxa"/>
            <w:vAlign w:val="bottom"/>
          </w:tcPr>
          <w:p>
            <w:pPr>
              <w:spacing w:after="0"/>
              <w:rPr>
                <w:sz w:val="24"/>
                <w:szCs w:val="24"/>
                <w:color w:val="auto"/>
              </w:rPr>
            </w:pPr>
          </w:p>
        </w:tc>
        <w:tc>
          <w:tcPr>
            <w:tcW w:w="2060" w:type="dxa"/>
            <w:vAlign w:val="bottom"/>
          </w:tcPr>
          <w:p>
            <w:pPr>
              <w:ind w:left="740"/>
              <w:spacing w:after="0"/>
              <w:rPr>
                <w:sz w:val="20"/>
                <w:szCs w:val="20"/>
                <w:color w:val="auto"/>
              </w:rPr>
            </w:pPr>
            <w:r>
              <w:rPr>
                <w:rFonts w:ascii="Arial" w:cs="Arial" w:eastAsia="Arial" w:hAnsi="Arial"/>
                <w:sz w:val="18"/>
                <w:szCs w:val="18"/>
                <w:color w:val="auto"/>
              </w:rPr>
              <w:t>F-41</w:t>
            </w:r>
          </w:p>
        </w:tc>
        <w:tc>
          <w:tcPr>
            <w:tcW w:w="9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080"/>
          </w:cols>
          <w:pgMar w:left="240" w:top="458" w:right="5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560" w:hanging="444"/>
        <w:spacing w:after="0" w:line="383" w:lineRule="auto"/>
        <w:tabs>
          <w:tab w:leader="none" w:pos="672"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(Continued) </w:t>
      </w:r>
      <w:r>
        <w:rPr>
          <w:rFonts w:ascii="Arial" w:cs="Arial" w:eastAsia="Arial" w:hAnsi="Arial"/>
          <w:sz w:val="18"/>
          <w:szCs w:val="18"/>
          <w:b w:val="1"/>
          <w:bCs w:val="1"/>
          <w:i w:val="1"/>
          <w:iCs w:val="1"/>
          <w:color w:val="auto"/>
        </w:rPr>
        <w:t>Share Options (Continued)</w:t>
      </w:r>
    </w:p>
    <w:p>
      <w:pPr>
        <w:spacing w:after="0" w:line="1"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information regarding the share options granted as of December 31, 2016 and December 31, 2017:</w:t>
      </w:r>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1260"/>
              <w:spacing w:after="0"/>
              <w:rPr>
                <w:sz w:val="20"/>
                <w:szCs w:val="20"/>
                <w:color w:val="auto"/>
              </w:rPr>
            </w:pPr>
            <w:r>
              <w:rPr>
                <w:rFonts w:ascii="Arial" w:cs="Arial" w:eastAsia="Arial" w:hAnsi="Arial"/>
                <w:sz w:val="14"/>
                <w:szCs w:val="14"/>
                <w:b w:val="1"/>
                <w:bCs w:val="1"/>
                <w:color w:val="auto"/>
              </w:rPr>
              <w:t>As of December 31, 2016</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Weighted-</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4"/>
              </w:rPr>
              <w:t>Weighted-</w:t>
            </w:r>
          </w:p>
        </w:tc>
        <w:tc>
          <w:tcPr>
            <w:tcW w:w="16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8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2"/>
            <w:vMerge w:val="continue"/>
          </w:tcPr>
          <w:p>
            <w:pPr>
              <w:spacing w:after="0"/>
              <w:rPr>
                <w:sz w:val="12"/>
                <w:szCs w:val="12"/>
                <w:color w:val="auto"/>
              </w:rPr>
            </w:pPr>
          </w:p>
        </w:tc>
        <w:tc>
          <w:tcPr>
            <w:tcW w:w="16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95"/>
              </w:rPr>
              <w:t>remaining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8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5"/>
              </w:rPr>
              <w:t>exercise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7"/>
              </w:rPr>
              <w:t>exercise price</w:t>
            </w:r>
          </w:p>
        </w:tc>
        <w:tc>
          <w:tcPr>
            <w:tcW w:w="740" w:type="dxa"/>
            <w:vAlign w:val="bottom"/>
          </w:tcPr>
          <w:p>
            <w:pPr>
              <w:spacing w:after="0"/>
              <w:rPr>
                <w:sz w:val="14"/>
                <w:szCs w:val="14"/>
                <w:color w:val="auto"/>
              </w:rPr>
            </w:pPr>
          </w:p>
        </w:tc>
        <w:tc>
          <w:tcPr>
            <w:tcW w:w="16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contractual life</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US$</w:t>
            </w:r>
          </w:p>
        </w:tc>
        <w:tc>
          <w:tcPr>
            <w:tcW w:w="740" w:type="dxa"/>
            <w:vAlign w:val="bottom"/>
            <w:vMerge w:val="restart"/>
          </w:tcPr>
          <w:p>
            <w:pPr>
              <w:spacing w:after="0"/>
              <w:rPr>
                <w:sz w:val="10"/>
                <w:szCs w:val="10"/>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740" w:type="dxa"/>
            <w:vAlign w:val="bottom"/>
            <w:vMerge w:val="restart"/>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HK$</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 thousand</w:t>
            </w:r>
          </w:p>
        </w:tc>
        <w:tc>
          <w:tcPr>
            <w:tcW w:w="0" w:type="dxa"/>
            <w:vAlign w:val="bottom"/>
          </w:tcPr>
          <w:p>
            <w:pPr>
              <w:spacing w:after="0"/>
              <w:rPr>
                <w:sz w:val="1"/>
                <w:szCs w:val="1"/>
                <w:color w:val="auto"/>
              </w:rPr>
            </w:pPr>
          </w:p>
        </w:tc>
      </w:tr>
      <w:tr>
        <w:trPr>
          <w:trHeight w:val="208"/>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1680" w:type="dxa"/>
            <w:vAlign w:val="bottom"/>
            <w:tcBorders>
              <w:top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1"/>
              </w:rPr>
              <w:t>111,407,320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0.0168</w:t>
            </w:r>
          </w:p>
        </w:tc>
        <w:tc>
          <w:tcPr>
            <w:tcW w:w="7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8"/>
                <w:szCs w:val="18"/>
                <w:color w:val="auto"/>
              </w:rPr>
              <w:t>Exercisable</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44,540,241</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0.0035</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7.84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5"/>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66,867,079</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0.0257</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389"/>
        </w:trPr>
        <w:tc>
          <w:tcPr>
            <w:tcW w:w="4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1260"/>
              <w:spacing w:after="0"/>
              <w:rPr>
                <w:sz w:val="20"/>
                <w:szCs w:val="20"/>
                <w:color w:val="auto"/>
              </w:rPr>
            </w:pPr>
            <w:r>
              <w:rPr>
                <w:rFonts w:ascii="Arial" w:cs="Arial" w:eastAsia="Arial" w:hAnsi="Arial"/>
                <w:sz w:val="14"/>
                <w:szCs w:val="14"/>
                <w:b w:val="1"/>
                <w:bCs w:val="1"/>
                <w:color w:val="auto"/>
              </w:rPr>
              <w:t>As of December 31, 2017</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Weighted-</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4"/>
              </w:rPr>
              <w:t>Weighted-</w:t>
            </w:r>
          </w:p>
        </w:tc>
        <w:tc>
          <w:tcPr>
            <w:tcW w:w="16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8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2"/>
            <w:vMerge w:val="continue"/>
          </w:tcPr>
          <w:p>
            <w:pPr>
              <w:spacing w:after="0"/>
              <w:rPr>
                <w:sz w:val="12"/>
                <w:szCs w:val="12"/>
                <w:color w:val="auto"/>
              </w:rPr>
            </w:pPr>
          </w:p>
        </w:tc>
        <w:tc>
          <w:tcPr>
            <w:tcW w:w="16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95"/>
              </w:rPr>
              <w:t>remaining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8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5"/>
              </w:rPr>
              <w:t>exercise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7"/>
              </w:rPr>
              <w:t>exercise price</w:t>
            </w:r>
          </w:p>
        </w:tc>
        <w:tc>
          <w:tcPr>
            <w:tcW w:w="740" w:type="dxa"/>
            <w:vAlign w:val="bottom"/>
          </w:tcPr>
          <w:p>
            <w:pPr>
              <w:spacing w:after="0"/>
              <w:rPr>
                <w:sz w:val="14"/>
                <w:szCs w:val="14"/>
                <w:color w:val="auto"/>
              </w:rPr>
            </w:pPr>
          </w:p>
        </w:tc>
        <w:tc>
          <w:tcPr>
            <w:tcW w:w="16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contractual life</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US$</w:t>
            </w:r>
          </w:p>
        </w:tc>
        <w:tc>
          <w:tcPr>
            <w:tcW w:w="740" w:type="dxa"/>
            <w:vAlign w:val="bottom"/>
            <w:vMerge w:val="restart"/>
          </w:tcPr>
          <w:p>
            <w:pPr>
              <w:spacing w:after="0"/>
              <w:rPr>
                <w:sz w:val="10"/>
                <w:szCs w:val="10"/>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740" w:type="dxa"/>
            <w:vAlign w:val="bottom"/>
            <w:vMerge w:val="restart"/>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HK$</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 thousand</w:t>
            </w:r>
          </w:p>
        </w:tc>
        <w:tc>
          <w:tcPr>
            <w:tcW w:w="0" w:type="dxa"/>
            <w:vAlign w:val="bottom"/>
          </w:tcPr>
          <w:p>
            <w:pPr>
              <w:spacing w:after="0"/>
              <w:rPr>
                <w:sz w:val="1"/>
                <w:szCs w:val="1"/>
                <w:color w:val="auto"/>
              </w:rPr>
            </w:pPr>
          </w:p>
        </w:tc>
      </w:tr>
      <w:tr>
        <w:trPr>
          <w:trHeight w:val="208"/>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1680" w:type="dxa"/>
            <w:vAlign w:val="bottom"/>
            <w:tcBorders>
              <w:top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1"/>
              </w:rPr>
              <w:t>111,624,775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0.0186</w:t>
            </w:r>
          </w:p>
        </w:tc>
        <w:tc>
          <w:tcPr>
            <w:tcW w:w="7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8"/>
                <w:szCs w:val="18"/>
                <w:color w:val="auto"/>
              </w:rPr>
              <w:t>Exercisable</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70,630,894</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0.0073</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6.84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15"/>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40,993,881</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0.0380</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The weighted average grant date fair value of options granted for the years ended December 31, 2016 and 2017 was US$0.1122 and US$0.0998 per option, respectively.</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 options were exercised for the years ended December 31, 2016 and 2017.</w:t>
      </w:r>
    </w:p>
    <w:p>
      <w:pPr>
        <w:spacing w:after="0" w:line="223"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The fair value of each option granted under the Company’s Share Incentive Plans during 2016 and 2017 was estimated on the date of each grant using the binomial option pricing model with the assumptions (or ranges thereof) in the following table:</w:t>
      </w:r>
    </w:p>
    <w:p>
      <w:pPr>
        <w:spacing w:after="0" w:line="189"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380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r>
      <w:tr>
        <w:trPr>
          <w:trHeight w:val="208"/>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(US$)</w:t>
            </w:r>
          </w:p>
        </w:tc>
        <w:tc>
          <w:tcPr>
            <w:tcW w:w="27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0.00001-0.02</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0.8-1.03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w w:val="90"/>
              </w:rPr>
              <w:t>Fair value of the ordinary shares on the date of option grant (US$)</w:t>
            </w:r>
          </w:p>
        </w:tc>
        <w:tc>
          <w:tcPr>
            <w:tcW w:w="4400" w:type="dxa"/>
            <w:vAlign w:val="bottom"/>
            <w:gridSpan w:val="3"/>
          </w:tcPr>
          <w:p>
            <w:pPr>
              <w:jc w:val="right"/>
              <w:ind w:right="600"/>
              <w:spacing w:after="0"/>
              <w:rPr>
                <w:sz w:val="20"/>
                <w:szCs w:val="20"/>
                <w:color w:val="auto"/>
              </w:rPr>
            </w:pPr>
            <w:r>
              <w:rPr>
                <w:rFonts w:ascii="Arial" w:cs="Arial" w:eastAsia="Arial" w:hAnsi="Arial"/>
                <w:sz w:val="18"/>
                <w:szCs w:val="18"/>
                <w:color w:val="auto"/>
              </w:rPr>
              <w:t>0.2033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0.4220</w:t>
            </w: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0.91%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400" w:type="dxa"/>
            <w:vAlign w:val="bottom"/>
            <w:gridSpan w:val="3"/>
          </w:tcPr>
          <w:p>
            <w:pPr>
              <w:jc w:val="right"/>
              <w:ind w:right="600"/>
              <w:spacing w:after="0"/>
              <w:rPr>
                <w:sz w:val="20"/>
                <w:szCs w:val="20"/>
                <w:color w:val="auto"/>
              </w:rPr>
            </w:pPr>
            <w:r>
              <w:rPr>
                <w:rFonts w:ascii="Arial" w:cs="Arial" w:eastAsia="Arial" w:hAnsi="Arial"/>
                <w:sz w:val="18"/>
                <w:szCs w:val="18"/>
                <w:color w:val="auto"/>
              </w:rPr>
              <w:t>8.3</w:t>
            </w: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Expected volatility</w:t>
            </w:r>
          </w:p>
        </w:tc>
        <w:tc>
          <w:tcPr>
            <w:tcW w:w="4400" w:type="dxa"/>
            <w:vAlign w:val="bottom"/>
            <w:gridSpan w:val="3"/>
          </w:tcPr>
          <w:p>
            <w:pPr>
              <w:jc w:val="right"/>
              <w:ind w:right="440"/>
              <w:spacing w:after="0"/>
              <w:rPr>
                <w:sz w:val="20"/>
                <w:szCs w:val="20"/>
                <w:color w:val="auto"/>
              </w:rPr>
            </w:pPr>
            <w:r>
              <w:rPr>
                <w:rFonts w:ascii="Arial" w:cs="Arial" w:eastAsia="Arial" w:hAnsi="Arial"/>
                <w:sz w:val="18"/>
                <w:szCs w:val="18"/>
                <w:color w:val="auto"/>
              </w:rPr>
              <w:t>48%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4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363"/>
        </w:trPr>
        <w:tc>
          <w:tcPr>
            <w:tcW w:w="4800" w:type="dxa"/>
            <w:vAlign w:val="bottom"/>
          </w:tcPr>
          <w:p>
            <w:pPr>
              <w:spacing w:after="0"/>
              <w:rPr>
                <w:sz w:val="24"/>
                <w:szCs w:val="24"/>
                <w:color w:val="auto"/>
              </w:rPr>
            </w:pPr>
          </w:p>
        </w:tc>
        <w:tc>
          <w:tcPr>
            <w:tcW w:w="4400" w:type="dxa"/>
            <w:vAlign w:val="bottom"/>
            <w:gridSpan w:val="3"/>
          </w:tcPr>
          <w:p>
            <w:pPr>
              <w:jc w:val="right"/>
              <w:ind w:right="4000"/>
              <w:spacing w:after="0"/>
              <w:rPr>
                <w:sz w:val="20"/>
                <w:szCs w:val="20"/>
                <w:color w:val="auto"/>
              </w:rPr>
            </w:pPr>
            <w:r>
              <w:rPr>
                <w:rFonts w:ascii="Arial" w:cs="Arial" w:eastAsia="Arial" w:hAnsi="Arial"/>
                <w:sz w:val="18"/>
                <w:szCs w:val="18"/>
                <w:color w:val="auto"/>
              </w:rPr>
              <w:t>F-42</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980"/>
          </w:cols>
          <w:pgMar w:left="240" w:top="458" w:right="6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780" w:hanging="444"/>
        <w:spacing w:after="0" w:line="383" w:lineRule="auto"/>
        <w:tabs>
          <w:tab w:leader="none" w:pos="672"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(Continued) </w:t>
      </w:r>
      <w:r>
        <w:rPr>
          <w:rFonts w:ascii="Arial" w:cs="Arial" w:eastAsia="Arial" w:hAnsi="Arial"/>
          <w:sz w:val="18"/>
          <w:szCs w:val="18"/>
          <w:b w:val="1"/>
          <w:bCs w:val="1"/>
          <w:i w:val="1"/>
          <w:iCs w:val="1"/>
          <w:color w:val="auto"/>
        </w:rPr>
        <w:t>Share Options (Continued)</w:t>
      </w:r>
    </w:p>
    <w:p>
      <w:pPr>
        <w:spacing w:after="0" w:line="1" w:lineRule="exact"/>
        <w:rPr>
          <w:sz w:val="20"/>
          <w:szCs w:val="20"/>
          <w:color w:val="auto"/>
        </w:rPr>
      </w:pPr>
    </w:p>
    <w:p>
      <w:pPr>
        <w:ind w:left="240" w:right="140" w:firstLine="438"/>
        <w:spacing w:after="0" w:line="300" w:lineRule="auto"/>
        <w:rPr>
          <w:sz w:val="20"/>
          <w:szCs w:val="20"/>
          <w:color w:val="auto"/>
        </w:rPr>
      </w:pPr>
      <w:r>
        <w:rPr>
          <w:rFonts w:ascii="Arial" w:cs="Arial" w:eastAsia="Arial" w:hAnsi="Arial"/>
          <w:sz w:val="16"/>
          <w:szCs w:val="16"/>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154" w:lineRule="exact"/>
        <w:rPr>
          <w:sz w:val="20"/>
          <w:szCs w:val="20"/>
          <w:color w:val="auto"/>
        </w:rPr>
      </w:pPr>
    </w:p>
    <w:p>
      <w:pPr>
        <w:ind w:left="240" w:right="140" w:firstLine="438"/>
        <w:spacing w:after="0" w:line="262" w:lineRule="auto"/>
        <w:rPr>
          <w:sz w:val="20"/>
          <w:szCs w:val="20"/>
          <w:color w:val="auto"/>
        </w:rPr>
      </w:pPr>
      <w:r>
        <w:rPr>
          <w:rFonts w:ascii="Arial" w:cs="Arial" w:eastAsia="Arial" w:hAnsi="Arial"/>
          <w:sz w:val="18"/>
          <w:szCs w:val="18"/>
          <w:color w:val="auto"/>
        </w:rPr>
        <w:t>As of December 31, 2016 and 2017, there was HK$25,406 thousand (US$3,276 thousand) and HK$15,644 thousand (US$2,023 thousand) of unrecognized compensation expenses related to the options, which is expected to be recognized over a weighted-average period of 2.37 and 1.38 years, respectively.</w:t>
      </w:r>
    </w:p>
    <w:p>
      <w:pPr>
        <w:spacing w:after="0" w:line="325" w:lineRule="exact"/>
        <w:rPr>
          <w:sz w:val="20"/>
          <w:szCs w:val="20"/>
          <w:color w:val="auto"/>
        </w:rPr>
      </w:pPr>
    </w:p>
    <w:p>
      <w:pPr>
        <w:ind w:left="660" w:hanging="424"/>
        <w:spacing w:after="0"/>
        <w:tabs>
          <w:tab w:leader="none" w:pos="6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19" w:lineRule="exact"/>
        <w:rPr>
          <w:sz w:val="20"/>
          <w:szCs w:val="20"/>
          <w:color w:val="auto"/>
        </w:rPr>
      </w:pPr>
    </w:p>
    <w:p>
      <w:pPr>
        <w:ind w:left="240" w:right="120" w:firstLine="438"/>
        <w:spacing w:after="0" w:line="275" w:lineRule="auto"/>
        <w:rPr>
          <w:sz w:val="20"/>
          <w:szCs w:val="20"/>
          <w:color w:val="auto"/>
        </w:rPr>
      </w:pPr>
      <w:r>
        <w:rPr>
          <w:rFonts w:ascii="Arial" w:cs="Arial" w:eastAsia="Arial" w:hAnsi="Arial"/>
          <w:sz w:val="18"/>
          <w:szCs w:val="18"/>
          <w:color w:val="auto"/>
        </w:rPr>
        <w:t>Basic net loss per share and diluted net loss per share have been calculated in accordance with ASC 260 on computation of earnings per share for the years ended December 31, 2016 and 2017 as follows:</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5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9"/>
              <w:spacing w:after="0" w:line="141"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5"/>
              <w:spacing w:after="0" w:line="141"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2400" w:type="dxa"/>
            <w:vAlign w:val="bottom"/>
            <w:gridSpan w:val="3"/>
          </w:tcPr>
          <w:p>
            <w:pPr>
              <w:jc w:val="right"/>
              <w:ind w:right="515"/>
              <w:spacing w:after="0" w:line="141" w:lineRule="exact"/>
              <w:rPr>
                <w:sz w:val="20"/>
                <w:szCs w:val="20"/>
                <w:color w:val="auto"/>
              </w:rPr>
            </w:pPr>
            <w:r>
              <w:rPr>
                <w:rFonts w:ascii="Arial" w:cs="Arial" w:eastAsia="Arial" w:hAnsi="Arial"/>
                <w:sz w:val="14"/>
                <w:szCs w:val="14"/>
                <w:b w:val="1"/>
                <w:bCs w:val="1"/>
                <w:color w:val="auto"/>
              </w:rPr>
              <w:t>(HK$ in thousands)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loss attributable to ordinary shareholder of the Company</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(116,400)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(55,817)</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outstanding-basic and diluted</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403,750,000</w:t>
            </w:r>
          </w:p>
        </w:tc>
        <w:tc>
          <w:tcPr>
            <w:tcW w:w="1080" w:type="dxa"/>
            <w:vAlign w:val="bottom"/>
          </w:tcPr>
          <w:p>
            <w:pPr>
              <w:jc w:val="right"/>
              <w:spacing w:after="0"/>
              <w:rPr>
                <w:sz w:val="20"/>
                <w:szCs w:val="20"/>
                <w:color w:val="auto"/>
              </w:rPr>
            </w:pPr>
            <w:r>
              <w:rPr>
                <w:rFonts w:ascii="Arial" w:cs="Arial" w:eastAsia="Arial" w:hAnsi="Arial"/>
                <w:sz w:val="18"/>
                <w:szCs w:val="18"/>
                <w:color w:val="auto"/>
              </w:rPr>
              <w:t>403,750,000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attributable to ordinary shareholder of the Company</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(0.29)</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240" w:right="200" w:firstLine="438"/>
        <w:spacing w:after="0" w:line="300" w:lineRule="auto"/>
        <w:rPr>
          <w:sz w:val="20"/>
          <w:szCs w:val="20"/>
          <w:color w:val="auto"/>
        </w:rPr>
      </w:pPr>
      <w:r>
        <w:rPr>
          <w:rFonts w:ascii="Arial" w:cs="Arial" w:eastAsia="Arial" w:hAnsi="Arial"/>
          <w:sz w:val="16"/>
          <w:szCs w:val="16"/>
          <w:color w:val="auto"/>
        </w:rPr>
        <w:t>The potentially dilutive securities that were not included in the calculation of above dilutive net loss per share in the years presented where their inclusion would be anti-diluted include options to purchase ordinary shares of 99,355,769 and preferred shares to be converted into ordinary shares of 323,435,523 for the year ended December 31, 2017 on a weighted average basis. While for the year ended December 31, 2016, the potentially dilutive securities include options to purchase ordinary shares of 87,788,507 and preferred shares to be converted into ordinary shares of 236,861,100.</w:t>
      </w:r>
    </w:p>
    <w:p>
      <w:pPr>
        <w:spacing w:after="0" w:line="298" w:lineRule="exact"/>
        <w:rPr>
          <w:sz w:val="20"/>
          <w:szCs w:val="20"/>
          <w:color w:val="auto"/>
        </w:rPr>
      </w:pPr>
    </w:p>
    <w:p>
      <w:pPr>
        <w:ind w:left="660" w:hanging="424"/>
        <w:spacing w:after="0"/>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COLLATERALIZED TRANSACTIONS</w:t>
      </w:r>
    </w:p>
    <w:p>
      <w:pPr>
        <w:spacing w:after="0" w:line="119" w:lineRule="exact"/>
        <w:rPr>
          <w:sz w:val="20"/>
          <w:szCs w:val="20"/>
          <w:color w:val="auto"/>
        </w:rPr>
      </w:pPr>
    </w:p>
    <w:p>
      <w:pPr>
        <w:ind w:left="240" w:right="160" w:firstLine="438"/>
        <w:spacing w:after="0" w:line="255" w:lineRule="auto"/>
        <w:rPr>
          <w:sz w:val="20"/>
          <w:szCs w:val="20"/>
          <w:color w:val="auto"/>
        </w:rPr>
      </w:pPr>
      <w:r>
        <w:rPr>
          <w:rFonts w:ascii="Arial" w:cs="Arial" w:eastAsia="Arial" w:hAnsi="Arial"/>
          <w:sz w:val="18"/>
          <w:szCs w:val="18"/>
          <w:color w:val="auto"/>
        </w:rPr>
        <w:t>The Operating Company also engages in margin financing transactions with and for clients through margin lending. Client receivables generated from margin lending activity are collateralized by client-owned securities held by the Operating Company. Clients’ required margin levels and established credit limits are monitored continuously by risk management staff using automated systems. Pursuant to the Operating Company’s policy and as enforced by such systems, clients are required to deposit additional collateral or reduce positions, when necessary to avoid forced liquidation of their positions.</w:t>
      </w:r>
    </w:p>
    <w:p>
      <w:pPr>
        <w:spacing w:after="0" w:line="189" w:lineRule="exact"/>
        <w:rPr>
          <w:sz w:val="20"/>
          <w:szCs w:val="20"/>
          <w:color w:val="auto"/>
        </w:rPr>
      </w:pPr>
    </w:p>
    <w:p>
      <w:pPr>
        <w:ind w:left="240" w:right="160" w:firstLine="438"/>
        <w:spacing w:after="0" w:line="275" w:lineRule="auto"/>
        <w:rPr>
          <w:sz w:val="20"/>
          <w:szCs w:val="20"/>
          <w:color w:val="auto"/>
        </w:rPr>
      </w:pPr>
      <w:r>
        <w:rPr>
          <w:rFonts w:ascii="Arial" w:cs="Arial" w:eastAsia="Arial" w:hAnsi="Arial"/>
          <w:sz w:val="18"/>
          <w:szCs w:val="18"/>
          <w:color w:val="auto"/>
        </w:rPr>
        <w:t>Margin loans are extended to clients on a demand basis and are not committed facilities. Underlying collateral for margin loans is evaluated with respect to the liquidity of the collateral positions, valuation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00"/>
          </w:cols>
          <w:pgMar w:left="240" w:top="458"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COLLATERALIZED TRANSACTIONS (Continued)</w:t>
      </w:r>
    </w:p>
    <w:p>
      <w:pPr>
        <w:spacing w:after="0" w:line="133" w:lineRule="exact"/>
        <w:rPr>
          <w:sz w:val="20"/>
          <w:szCs w:val="20"/>
          <w:color w:val="auto"/>
        </w:rPr>
      </w:pPr>
    </w:p>
    <w:p>
      <w:pPr>
        <w:ind w:left="240"/>
        <w:spacing w:after="0" w:line="262" w:lineRule="auto"/>
        <w:rPr>
          <w:sz w:val="20"/>
          <w:szCs w:val="20"/>
          <w:color w:val="auto"/>
        </w:rPr>
      </w:pPr>
      <w:r>
        <w:rPr>
          <w:rFonts w:ascii="Arial" w:cs="Arial" w:eastAsia="Arial" w:hAnsi="Arial"/>
          <w:sz w:val="18"/>
          <w:szCs w:val="18"/>
          <w:color w:val="auto"/>
        </w:rPr>
        <w:t>securities, volatility analysis and an evaluation of industry concentrations. Adherence to the Operating Company’s collateral policies significantly limits the Operating Company’s credit exposure to margin loans in the event of a client’s default. As of December 31, 2017 and 2016, approximately HK$2,865,035 thousand and HK$126,163 thousand, respectively, of client margin loans were outstanding.</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the amounts related to collateralized transactions as of December 31, 2016 and 2017:</w:t>
      </w:r>
    </w:p>
    <w:p>
      <w:pPr>
        <w:spacing w:after="0" w:line="241"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1"/>
        </w:trPr>
        <w:tc>
          <w:tcPr>
            <w:tcW w:w="55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24"/>
              <w:spacing w:after="0" w:line="141" w:lineRule="exact"/>
              <w:rPr>
                <w:sz w:val="20"/>
                <w:szCs w:val="20"/>
                <w:color w:val="auto"/>
              </w:rPr>
            </w:pPr>
            <w:r>
              <w:rPr>
                <w:rFonts w:ascii="Arial" w:cs="Arial" w:eastAsia="Arial" w:hAnsi="Arial"/>
                <w:sz w:val="14"/>
                <w:szCs w:val="14"/>
                <w:b w:val="1"/>
                <w:bCs w:val="1"/>
                <w:color w:val="auto"/>
                <w:w w:val="96"/>
              </w:rPr>
              <w:t>2016</w:t>
            </w:r>
          </w:p>
        </w:tc>
        <w:tc>
          <w:tcPr>
            <w:tcW w:w="5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22"/>
              <w:spacing w:after="0" w:line="141"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1"/>
        </w:trPr>
        <w:tc>
          <w:tcPr>
            <w:tcW w:w="5540" w:type="dxa"/>
            <w:vAlign w:val="bottom"/>
          </w:tcPr>
          <w:p>
            <w:pPr>
              <w:spacing w:after="0"/>
              <w:rPr>
                <w:sz w:val="12"/>
                <w:szCs w:val="12"/>
                <w:color w:val="auto"/>
              </w:rPr>
            </w:pPr>
          </w:p>
        </w:tc>
        <w:tc>
          <w:tcPr>
            <w:tcW w:w="1860" w:type="dxa"/>
            <w:vAlign w:val="bottom"/>
            <w:tcBorders>
              <w:bottom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HK$ in thousands</w:t>
            </w:r>
          </w:p>
        </w:tc>
        <w:tc>
          <w:tcPr>
            <w:tcW w:w="540" w:type="dxa"/>
            <w:vAlign w:val="bottom"/>
          </w:tcPr>
          <w:p>
            <w:pPr>
              <w:spacing w:after="0"/>
              <w:rPr>
                <w:sz w:val="12"/>
                <w:szCs w:val="12"/>
                <w:color w:val="auto"/>
              </w:rPr>
            </w:pPr>
          </w:p>
        </w:tc>
        <w:tc>
          <w:tcPr>
            <w:tcW w:w="2080" w:type="dxa"/>
            <w:vAlign w:val="bottom"/>
            <w:tcBorders>
              <w:bottom w:val="single" w:sz="8" w:color="auto"/>
            </w:tcBorders>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HK$ in thousands</w:t>
            </w:r>
          </w:p>
        </w:tc>
        <w:tc>
          <w:tcPr>
            <w:tcW w:w="40" w:type="dxa"/>
            <w:vAlign w:val="bottom"/>
          </w:tcPr>
          <w:p>
            <w:pPr>
              <w:spacing w:after="0"/>
              <w:rPr>
                <w:sz w:val="12"/>
                <w:szCs w:val="12"/>
                <w:color w:val="auto"/>
              </w:rPr>
            </w:pPr>
          </w:p>
        </w:tc>
      </w:tr>
      <w:tr>
        <w:trPr>
          <w:trHeight w:val="122"/>
        </w:trPr>
        <w:tc>
          <w:tcPr>
            <w:tcW w:w="554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w w:val="90"/>
              </w:rPr>
              <w:t>Permitted to</w:t>
            </w: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jc w:val="center"/>
              <w:ind w:right="4"/>
              <w:spacing w:after="0" w:line="123" w:lineRule="exact"/>
              <w:rPr>
                <w:sz w:val="20"/>
                <w:szCs w:val="20"/>
                <w:color w:val="auto"/>
              </w:rPr>
            </w:pPr>
            <w:r>
              <w:rPr>
                <w:rFonts w:ascii="Arial" w:cs="Arial" w:eastAsia="Arial" w:hAnsi="Arial"/>
                <w:sz w:val="14"/>
                <w:szCs w:val="14"/>
                <w:color w:val="auto"/>
                <w:w w:val="92"/>
              </w:rPr>
              <w:t>Permitted to</w:t>
            </w:r>
          </w:p>
        </w:tc>
        <w:tc>
          <w:tcPr>
            <w:tcW w:w="12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6"/>
        </w:trPr>
        <w:tc>
          <w:tcPr>
            <w:tcW w:w="5540" w:type="dxa"/>
            <w:vAlign w:val="bottom"/>
          </w:tcPr>
          <w:p>
            <w:pPr>
              <w:spacing w:after="0"/>
              <w:rPr>
                <w:sz w:val="14"/>
                <w:szCs w:val="14"/>
                <w:color w:val="auto"/>
              </w:rPr>
            </w:pPr>
          </w:p>
        </w:tc>
        <w:tc>
          <w:tcPr>
            <w:tcW w:w="740" w:type="dxa"/>
            <w:vAlign w:val="bottom"/>
          </w:tcPr>
          <w:p>
            <w:pPr>
              <w:jc w:val="right"/>
              <w:ind w:right="64"/>
              <w:spacing w:after="0"/>
              <w:rPr>
                <w:sz w:val="20"/>
                <w:szCs w:val="20"/>
                <w:color w:val="auto"/>
              </w:rPr>
            </w:pPr>
            <w:r>
              <w:rPr>
                <w:rFonts w:ascii="Arial" w:cs="Arial" w:eastAsia="Arial" w:hAnsi="Arial"/>
                <w:sz w:val="14"/>
                <w:szCs w:val="14"/>
                <w:color w:val="auto"/>
              </w:rPr>
              <w:t>repledge</w:t>
            </w:r>
          </w:p>
        </w:tc>
        <w:tc>
          <w:tcPr>
            <w:tcW w:w="1660" w:type="dxa"/>
            <w:vAlign w:val="bottom"/>
            <w:gridSpan w:val="2"/>
          </w:tcPr>
          <w:p>
            <w:pPr>
              <w:ind w:left="500"/>
              <w:spacing w:after="0"/>
              <w:rPr>
                <w:sz w:val="20"/>
                <w:szCs w:val="20"/>
                <w:color w:val="auto"/>
              </w:rPr>
            </w:pPr>
            <w:r>
              <w:rPr>
                <w:rFonts w:ascii="Arial" w:cs="Arial" w:eastAsia="Arial" w:hAnsi="Arial"/>
                <w:sz w:val="14"/>
                <w:szCs w:val="14"/>
                <w:color w:val="auto"/>
              </w:rPr>
              <w:t>Repledged</w:t>
            </w: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repledge</w:t>
            </w:r>
          </w:p>
        </w:tc>
        <w:tc>
          <w:tcPr>
            <w:tcW w:w="1300" w:type="dxa"/>
            <w:vAlign w:val="bottom"/>
            <w:gridSpan w:val="2"/>
          </w:tcPr>
          <w:p>
            <w:pPr>
              <w:ind w:left="560"/>
              <w:spacing w:after="0"/>
              <w:rPr>
                <w:sz w:val="20"/>
                <w:szCs w:val="20"/>
                <w:color w:val="auto"/>
              </w:rPr>
            </w:pPr>
            <w:r>
              <w:rPr>
                <w:rFonts w:ascii="Arial" w:cs="Arial" w:eastAsia="Arial" w:hAnsi="Arial"/>
                <w:sz w:val="14"/>
                <w:szCs w:val="14"/>
                <w:color w:val="auto"/>
              </w:rPr>
              <w:t>Repledged</w:t>
            </w:r>
          </w:p>
        </w:tc>
      </w:tr>
      <w:tr>
        <w:trPr>
          <w:trHeight w:val="215"/>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Client margin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625,061</w:t>
            </w:r>
          </w:p>
        </w:tc>
        <w:tc>
          <w:tcPr>
            <w:tcW w:w="16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9,211,920</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2"/>
              </w:rPr>
              <w:t>1,299,200</w:t>
            </w:r>
          </w:p>
        </w:tc>
      </w:tr>
    </w:tbl>
    <w:p>
      <w:pPr>
        <w:spacing w:after="0" w:line="344" w:lineRule="exact"/>
        <w:rPr>
          <w:sz w:val="20"/>
          <w:szCs w:val="20"/>
          <w:color w:val="auto"/>
        </w:rPr>
      </w:pPr>
    </w:p>
    <w:p>
      <w:pPr>
        <w:ind w:left="660" w:hanging="424"/>
        <w:spacing w:after="0"/>
        <w:tabs>
          <w:tab w:leader="none" w:pos="6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BROKERAGE COMMISSION AND HANDLING CHARGE INCOME</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1"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jc w:val="right"/>
              <w:ind w:right="294"/>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Brokerage commission income</w:t>
            </w:r>
          </w:p>
        </w:tc>
        <w:tc>
          <w:tcPr>
            <w:tcW w:w="3920" w:type="dxa"/>
            <w:vAlign w:val="bottom"/>
            <w:gridSpan w:val="4"/>
            <w:shd w:val="clear" w:color="auto" w:fill="CCEEFF"/>
          </w:tcPr>
          <w:p>
            <w:pPr>
              <w:jc w:val="center"/>
              <w:ind w:left="2211"/>
              <w:spacing w:after="0"/>
              <w:rPr>
                <w:sz w:val="20"/>
                <w:szCs w:val="20"/>
                <w:color w:val="auto"/>
              </w:rPr>
            </w:pPr>
            <w:r>
              <w:rPr>
                <w:rFonts w:ascii="Arial" w:cs="Arial" w:eastAsia="Arial" w:hAnsi="Arial"/>
                <w:sz w:val="18"/>
                <w:szCs w:val="18"/>
                <w:color w:val="auto"/>
                <w:w w:val="90"/>
              </w:rPr>
              <w:t>30,448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101,275</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Handling and settlement fee income</w:t>
            </w:r>
          </w:p>
        </w:tc>
        <w:tc>
          <w:tcPr>
            <w:tcW w:w="2720" w:type="dxa"/>
            <w:vAlign w:val="bottom"/>
            <w:gridSpan w:val="2"/>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44,050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83,643</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0"/>
              </w:rPr>
              <w:t>74,498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184,918</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17.  INTEREST INCOME</w:t>
            </w: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4920" w:type="dxa"/>
            <w:vAlign w:val="bottom"/>
            <w:gridSpan w:val="2"/>
            <w:vMerge w:val="continue"/>
          </w:tcPr>
          <w:p>
            <w:pPr>
              <w:spacing w:after="0"/>
              <w:rPr>
                <w:sz w:val="24"/>
                <w:szCs w:val="24"/>
                <w:color w:val="auto"/>
              </w:rPr>
            </w:pPr>
          </w:p>
        </w:tc>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0"/>
              <w:spacing w:after="0" w:line="141"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jc w:val="right"/>
              <w:ind w:right="314"/>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Bank deposits</w:t>
            </w:r>
          </w:p>
        </w:tc>
        <w:tc>
          <w:tcPr>
            <w:tcW w:w="3360" w:type="dxa"/>
            <w:vAlign w:val="bottom"/>
            <w:gridSpan w:val="3"/>
          </w:tcPr>
          <w:p>
            <w:pPr>
              <w:ind w:left="2900"/>
              <w:spacing w:after="0"/>
              <w:rPr>
                <w:sz w:val="20"/>
                <w:szCs w:val="20"/>
                <w:color w:val="auto"/>
              </w:rPr>
            </w:pPr>
            <w:r>
              <w:rPr>
                <w:rFonts w:ascii="Arial" w:cs="Arial" w:eastAsia="Arial" w:hAnsi="Arial"/>
                <w:sz w:val="18"/>
                <w:szCs w:val="18"/>
                <w:color w:val="auto"/>
                <w:w w:val="93"/>
              </w:rPr>
              <w:t>4,033</w:t>
            </w:r>
          </w:p>
        </w:tc>
        <w:tc>
          <w:tcPr>
            <w:tcW w:w="5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34,050</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Margin financing and securities lending</w:t>
            </w:r>
          </w:p>
        </w:tc>
        <w:tc>
          <w:tcPr>
            <w:tcW w:w="3360" w:type="dxa"/>
            <w:vAlign w:val="bottom"/>
            <w:tcBorders>
              <w:right w:val="single" w:sz="8" w:color="CCEEFF"/>
            </w:tcBorders>
            <w:gridSpan w:val="3"/>
            <w:shd w:val="clear" w:color="auto" w:fill="CCEEFF"/>
          </w:tcPr>
          <w:p>
            <w:pPr>
              <w:ind w:left="2900"/>
              <w:spacing w:after="0"/>
              <w:rPr>
                <w:sz w:val="20"/>
                <w:szCs w:val="20"/>
                <w:color w:val="auto"/>
              </w:rPr>
            </w:pPr>
            <w:r>
              <w:rPr>
                <w:rFonts w:ascii="Arial" w:cs="Arial" w:eastAsia="Arial" w:hAnsi="Arial"/>
                <w:sz w:val="18"/>
                <w:szCs w:val="18"/>
                <w:color w:val="auto"/>
                <w:w w:val="93"/>
              </w:rPr>
              <w:t>1,762</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65,489</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IPO financing</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Bridge loan</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w:t>
            </w:r>
          </w:p>
        </w:tc>
        <w:tc>
          <w:tcPr>
            <w:tcW w:w="264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color w:val="auto"/>
                <w:w w:val="93"/>
              </w:rPr>
              <w:t>5,795</w:t>
            </w:r>
          </w:p>
        </w:tc>
        <w:tc>
          <w:tcPr>
            <w:tcW w:w="5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920" w:type="dxa"/>
            <w:vAlign w:val="bottom"/>
            <w:gridSpan w:val="4"/>
          </w:tcPr>
          <w:p>
            <w:pPr>
              <w:ind w:left="380"/>
              <w:spacing w:after="0"/>
              <w:rPr>
                <w:sz w:val="20"/>
                <w:szCs w:val="20"/>
                <w:color w:val="auto"/>
              </w:rPr>
            </w:pPr>
            <w:r>
              <w:rPr>
                <w:rFonts w:ascii="Arial" w:cs="Arial" w:eastAsia="Arial" w:hAnsi="Arial"/>
                <w:sz w:val="18"/>
                <w:szCs w:val="18"/>
                <w:color w:val="auto"/>
              </w:rPr>
              <w:t>F-44</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8" w:right="5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40" w:type="dxa"/>
        <w:tblCellMar>
          <w:top w:w="0" w:type="dxa"/>
          <w:left w:w="0" w:type="dxa"/>
          <w:bottom w:w="0" w:type="dxa"/>
          <w:right w:w="0" w:type="dxa"/>
        </w:tblCellMar>
      </w:tblPr>
      <w:tr>
        <w:trPr>
          <w:trHeight w:val="233"/>
        </w:trPr>
        <w:tc>
          <w:tcPr>
            <w:tcW w:w="1320" w:type="dxa"/>
            <w:vAlign w:val="bottom"/>
          </w:tcPr>
          <w:p>
            <w:pPr>
              <w:spacing w:after="0"/>
              <w:rPr>
                <w:sz w:val="20"/>
                <w:szCs w:val="20"/>
                <w:color w:val="auto"/>
              </w:rPr>
            </w:pPr>
          </w:p>
        </w:tc>
        <w:tc>
          <w:tcPr>
            <w:tcW w:w="6240" w:type="dxa"/>
            <w:vAlign w:val="bottom"/>
          </w:tcPr>
          <w:p>
            <w:pPr>
              <w:jc w:val="center"/>
              <w:ind w:left="1971"/>
              <w:spacing w:after="0"/>
              <w:rPr>
                <w:sz w:val="20"/>
                <w:szCs w:val="20"/>
                <w:color w:val="auto"/>
              </w:rPr>
            </w:pPr>
            <w:r>
              <w:rPr>
                <w:rFonts w:ascii="Arial" w:cs="Arial" w:eastAsia="Arial" w:hAnsi="Arial"/>
                <w:sz w:val="18"/>
                <w:szCs w:val="18"/>
                <w:b w:val="1"/>
                <w:bCs w:val="1"/>
                <w:color w:val="auto"/>
              </w:rPr>
              <w:t>FUTU HOLDINGS LIMITED</w:t>
            </w: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0"/>
        </w:trPr>
        <w:tc>
          <w:tcPr>
            <w:tcW w:w="1320" w:type="dxa"/>
            <w:vAlign w:val="bottom"/>
          </w:tcPr>
          <w:p>
            <w:pPr>
              <w:spacing w:after="0"/>
              <w:rPr>
                <w:sz w:val="24"/>
                <w:szCs w:val="24"/>
                <w:color w:val="auto"/>
              </w:rPr>
            </w:pPr>
          </w:p>
        </w:tc>
        <w:tc>
          <w:tcPr>
            <w:tcW w:w="7540" w:type="dxa"/>
            <w:vAlign w:val="bottom"/>
            <w:gridSpan w:val="3"/>
          </w:tcPr>
          <w:p>
            <w:pPr>
              <w:jc w:val="center"/>
              <w:ind w:left="671"/>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18.  OTHER INCOME</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9"/>
        </w:trPr>
        <w:tc>
          <w:tcPr>
            <w:tcW w:w="13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1"/>
        </w:trPr>
        <w:tc>
          <w:tcPr>
            <w:tcW w:w="13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1"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1"/>
        </w:trPr>
        <w:tc>
          <w:tcPr>
            <w:tcW w:w="13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020" w:type="dxa"/>
            <w:vAlign w:val="bottom"/>
            <w:gridSpan w:val="3"/>
          </w:tcPr>
          <w:p>
            <w:pPr>
              <w:jc w:val="right"/>
              <w:ind w:right="312"/>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r>
      <w:tr>
        <w:trPr>
          <w:trHeight w:val="215"/>
        </w:trPr>
        <w:tc>
          <w:tcPr>
            <w:tcW w:w="13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Enterprise public relations service charge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6,717</w:t>
            </w:r>
          </w:p>
        </w:tc>
      </w:tr>
      <w:tr>
        <w:trPr>
          <w:trHeight w:val="215"/>
        </w:trPr>
        <w:tc>
          <w:tcPr>
            <w:tcW w:w="13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IPO subscription service charge income</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484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6,570</w:t>
            </w:r>
          </w:p>
        </w:tc>
      </w:tr>
      <w:tr>
        <w:trPr>
          <w:trHeight w:val="215"/>
        </w:trPr>
        <w:tc>
          <w:tcPr>
            <w:tcW w:w="13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service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2,954</w:t>
            </w:r>
          </w:p>
        </w:tc>
      </w:tr>
      <w:tr>
        <w:trPr>
          <w:trHeight w:val="215"/>
        </w:trPr>
        <w:tc>
          <w:tcPr>
            <w:tcW w:w="13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Client referral income from brokers</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846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1,934</w:t>
            </w:r>
          </w:p>
        </w:tc>
      </w:tr>
      <w:tr>
        <w:trPr>
          <w:trHeight w:val="215"/>
        </w:trPr>
        <w:tc>
          <w:tcPr>
            <w:tcW w:w="13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Underwriting fee income</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1,599</w:t>
            </w:r>
          </w:p>
        </w:tc>
      </w:tr>
      <w:tr>
        <w:trPr>
          <w:trHeight w:val="215"/>
        </w:trPr>
        <w:tc>
          <w:tcPr>
            <w:tcW w:w="13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Market information and data income</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169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r>
      <w:tr>
        <w:trPr>
          <w:trHeight w:val="215"/>
        </w:trPr>
        <w:tc>
          <w:tcPr>
            <w:tcW w:w="13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w:t>
            </w:r>
          </w:p>
        </w:tc>
      </w:tr>
      <w:tr>
        <w:trPr>
          <w:trHeight w:val="222"/>
        </w:trPr>
        <w:tc>
          <w:tcPr>
            <w:tcW w:w="13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6,722</w:t>
            </w: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20,873</w:t>
            </w:r>
          </w:p>
        </w:tc>
        <w:tc>
          <w:tcPr>
            <w:tcW w:w="6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8"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18"/>
          <w:szCs w:val="18"/>
          <w:b w:val="1"/>
          <w:bCs w:val="1"/>
          <w:color w:val="auto"/>
        </w:rPr>
        <w:t>19.</w:t>
        <w:tab/>
        <w:t>BROKERAGE COMMISSION AND HANDLING CHARGE EXPENSES</w:t>
      </w:r>
    </w:p>
    <w:p>
      <w:pPr>
        <w:spacing w:after="0" w:line="245"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6320" w:type="dxa"/>
            <w:vAlign w:val="bottom"/>
          </w:tcPr>
          <w:p>
            <w:pPr>
              <w:spacing w:after="0"/>
              <w:rPr>
                <w:sz w:val="14"/>
                <w:szCs w:val="14"/>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1"/>
        </w:trPr>
        <w:tc>
          <w:tcPr>
            <w:tcW w:w="632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1"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1"/>
        </w:trPr>
        <w:tc>
          <w:tcPr>
            <w:tcW w:w="6320" w:type="dxa"/>
            <w:vAlign w:val="bottom"/>
          </w:tcPr>
          <w:p>
            <w:pPr>
              <w:spacing w:after="0"/>
              <w:rPr>
                <w:sz w:val="12"/>
                <w:szCs w:val="12"/>
                <w:color w:val="auto"/>
              </w:rPr>
            </w:pPr>
          </w:p>
        </w:tc>
        <w:tc>
          <w:tcPr>
            <w:tcW w:w="19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r>
      <w:tr>
        <w:trPr>
          <w:trHeight w:val="215"/>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Commission, handling and settlement expenses</w:t>
            </w:r>
          </w:p>
        </w:tc>
        <w:tc>
          <w:tcPr>
            <w:tcW w:w="1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18,730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35,643</w:t>
            </w:r>
          </w:p>
        </w:tc>
      </w:tr>
      <w:tr>
        <w:trPr>
          <w:trHeight w:val="215"/>
        </w:trPr>
        <w:tc>
          <w:tcPr>
            <w:tcW w:w="6320" w:type="dxa"/>
            <w:vAlign w:val="bottom"/>
          </w:tcPr>
          <w:p>
            <w:pPr>
              <w:spacing w:after="0"/>
              <w:rPr>
                <w:sz w:val="20"/>
                <w:szCs w:val="20"/>
                <w:color w:val="auto"/>
              </w:rPr>
            </w:pPr>
            <w:r>
              <w:rPr>
                <w:rFonts w:ascii="Arial" w:cs="Arial" w:eastAsia="Arial" w:hAnsi="Arial"/>
                <w:sz w:val="18"/>
                <w:szCs w:val="18"/>
                <w:color w:val="auto"/>
              </w:rPr>
              <w:t>IPO subscription service charge expenses</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1,134</w:t>
            </w:r>
          </w:p>
        </w:tc>
      </w:tr>
      <w:tr>
        <w:trPr>
          <w:trHeight w:val="27"/>
        </w:trPr>
        <w:tc>
          <w:tcPr>
            <w:tcW w:w="6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6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18,730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36,777</w:t>
            </w:r>
          </w:p>
        </w:tc>
      </w:tr>
      <w:tr>
        <w:trPr>
          <w:trHeight w:val="20"/>
        </w:trPr>
        <w:tc>
          <w:tcPr>
            <w:tcW w:w="6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8"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18"/>
          <w:szCs w:val="18"/>
          <w:b w:val="1"/>
          <w:bCs w:val="1"/>
          <w:color w:val="auto"/>
        </w:rPr>
        <w:t>20.</w:t>
        <w:tab/>
        <w:t>INTEREST EXPENSES</w:t>
      </w:r>
    </w:p>
    <w:p>
      <w:pPr>
        <w:spacing w:after="0" w:line="245"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210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141"/>
        </w:trPr>
        <w:tc>
          <w:tcPr>
            <w:tcW w:w="7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1" w:lineRule="exact"/>
              <w:rPr>
                <w:sz w:val="20"/>
                <w:szCs w:val="20"/>
                <w:color w:val="auto"/>
              </w:rPr>
            </w:pPr>
            <w:r>
              <w:rPr>
                <w:rFonts w:ascii="Arial" w:cs="Arial" w:eastAsia="Arial" w:hAnsi="Arial"/>
                <w:sz w:val="14"/>
                <w:szCs w:val="14"/>
                <w:b w:val="1"/>
                <w:bCs w:val="1"/>
                <w:color w:val="auto"/>
              </w:rPr>
              <w:t>2016</w:t>
            </w:r>
          </w:p>
        </w:tc>
        <w:tc>
          <w:tcPr>
            <w:tcW w:w="1380" w:type="dxa"/>
            <w:vAlign w:val="bottom"/>
            <w:tcBorders>
              <w:top w:val="single" w:sz="8" w:color="auto"/>
              <w:bottom w:val="single" w:sz="8" w:color="auto"/>
            </w:tcBorders>
            <w:gridSpan w:val="2"/>
          </w:tcPr>
          <w:p>
            <w:pPr>
              <w:jc w:val="right"/>
              <w:ind w:right="131"/>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1"/>
        </w:trPr>
        <w:tc>
          <w:tcPr>
            <w:tcW w:w="7100" w:type="dxa"/>
            <w:vAlign w:val="bottom"/>
          </w:tcPr>
          <w:p>
            <w:pPr>
              <w:spacing w:after="0"/>
              <w:rPr>
                <w:sz w:val="12"/>
                <w:szCs w:val="12"/>
                <w:color w:val="auto"/>
              </w:rPr>
            </w:pPr>
          </w:p>
        </w:tc>
        <w:tc>
          <w:tcPr>
            <w:tcW w:w="2040" w:type="dxa"/>
            <w:vAlign w:val="bottom"/>
            <w:gridSpan w:val="3"/>
          </w:tcPr>
          <w:p>
            <w:pPr>
              <w:jc w:val="right"/>
              <w:ind w:right="331"/>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r>
      <w:tr>
        <w:trPr>
          <w:trHeight w:val="215"/>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for margin financing</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7100" w:type="dxa"/>
            <w:vAlign w:val="bottom"/>
          </w:tcPr>
          <w:p>
            <w:pPr>
              <w:ind w:left="360"/>
              <w:spacing w:after="0"/>
              <w:rPr>
                <w:sz w:val="20"/>
                <w:szCs w:val="20"/>
                <w:color w:val="auto"/>
              </w:rPr>
            </w:pPr>
            <w:r>
              <w:rPr>
                <w:rFonts w:ascii="Arial" w:cs="Arial" w:eastAsia="Arial" w:hAnsi="Arial"/>
                <w:sz w:val="18"/>
                <w:szCs w:val="18"/>
                <w:color w:val="auto"/>
              </w:rPr>
              <w:t>Borrowings from banks</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7,189</w:t>
            </w:r>
          </w:p>
        </w:tc>
        <w:tc>
          <w:tcPr>
            <w:tcW w:w="60" w:type="dxa"/>
            <w:vAlign w:val="bottom"/>
          </w:tcPr>
          <w:p>
            <w:pPr>
              <w:spacing w:after="0"/>
              <w:rPr>
                <w:sz w:val="18"/>
                <w:szCs w:val="18"/>
                <w:color w:val="auto"/>
              </w:rPr>
            </w:pPr>
          </w:p>
        </w:tc>
      </w:tr>
      <w:tr>
        <w:trPr>
          <w:trHeight w:val="215"/>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from other licensed financial institutions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60" w:type="dxa"/>
            <w:vAlign w:val="bottom"/>
            <w:shd w:val="clear" w:color="auto" w:fill="CCEEFF"/>
          </w:tcPr>
          <w:p>
            <w:pPr>
              <w:spacing w:after="0"/>
              <w:rPr>
                <w:sz w:val="18"/>
                <w:szCs w:val="18"/>
                <w:color w:val="auto"/>
              </w:rPr>
            </w:pPr>
          </w:p>
        </w:tc>
      </w:tr>
      <w:tr>
        <w:trPr>
          <w:trHeight w:val="215"/>
        </w:trPr>
        <w:tc>
          <w:tcPr>
            <w:tcW w:w="7100" w:type="dxa"/>
            <w:vAlign w:val="bottom"/>
          </w:tcPr>
          <w:p>
            <w:pPr>
              <w:ind w:left="360"/>
              <w:spacing w:after="0"/>
              <w:rPr>
                <w:sz w:val="20"/>
                <w:szCs w:val="20"/>
                <w:color w:val="auto"/>
              </w:rPr>
            </w:pPr>
            <w:r>
              <w:rPr>
                <w:rFonts w:ascii="Arial" w:cs="Arial" w:eastAsia="Arial" w:hAnsi="Arial"/>
                <w:sz w:val="18"/>
                <w:szCs w:val="18"/>
                <w:color w:val="auto"/>
              </w:rPr>
              <w:t>Borrowings from other parties</w:t>
            </w:r>
          </w:p>
        </w:tc>
        <w:tc>
          <w:tcPr>
            <w:tcW w:w="660" w:type="dxa"/>
            <w:vAlign w:val="bottom"/>
          </w:tcPr>
          <w:p>
            <w:pPr>
              <w:jc w:val="right"/>
              <w:spacing w:after="0"/>
              <w:rPr>
                <w:sz w:val="20"/>
                <w:szCs w:val="20"/>
                <w:color w:val="auto"/>
              </w:rPr>
            </w:pPr>
            <w:r>
              <w:rPr>
                <w:rFonts w:ascii="Arial" w:cs="Arial" w:eastAsia="Arial" w:hAnsi="Arial"/>
                <w:sz w:val="18"/>
                <w:szCs w:val="18"/>
                <w:color w:val="auto"/>
              </w:rPr>
              <w:t>3,430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5,276</w:t>
            </w:r>
          </w:p>
        </w:tc>
        <w:tc>
          <w:tcPr>
            <w:tcW w:w="60" w:type="dxa"/>
            <w:vAlign w:val="bottom"/>
          </w:tcPr>
          <w:p>
            <w:pPr>
              <w:spacing w:after="0"/>
              <w:rPr>
                <w:sz w:val="18"/>
                <w:szCs w:val="18"/>
                <w:color w:val="auto"/>
              </w:rPr>
            </w:pPr>
          </w:p>
        </w:tc>
      </w:tr>
      <w:tr>
        <w:trPr>
          <w:trHeight w:val="215"/>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for IPO financing</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7100" w:type="dxa"/>
            <w:vAlign w:val="bottom"/>
          </w:tcPr>
          <w:p>
            <w:pPr>
              <w:ind w:left="360"/>
              <w:spacing w:after="0"/>
              <w:rPr>
                <w:sz w:val="20"/>
                <w:szCs w:val="20"/>
                <w:color w:val="auto"/>
              </w:rPr>
            </w:pPr>
            <w:r>
              <w:rPr>
                <w:rFonts w:ascii="Arial" w:cs="Arial" w:eastAsia="Arial" w:hAnsi="Arial"/>
                <w:sz w:val="18"/>
                <w:szCs w:val="18"/>
                <w:color w:val="auto"/>
              </w:rPr>
              <w:t>Borrowings from banks</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60" w:type="dxa"/>
            <w:vAlign w:val="bottom"/>
          </w:tcPr>
          <w:p>
            <w:pPr>
              <w:spacing w:after="0"/>
              <w:rPr>
                <w:sz w:val="19"/>
                <w:szCs w:val="19"/>
                <w:color w:val="auto"/>
              </w:rPr>
            </w:pPr>
          </w:p>
        </w:tc>
      </w:tr>
      <w:tr>
        <w:trPr>
          <w:trHeight w:val="215"/>
        </w:trPr>
        <w:tc>
          <w:tcPr>
            <w:tcW w:w="7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19,879</w:t>
            </w:r>
          </w:p>
        </w:tc>
        <w:tc>
          <w:tcPr>
            <w:tcW w:w="60" w:type="dxa"/>
            <w:vAlign w:val="bottom"/>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8" w:lineRule="exact"/>
        <w:rPr>
          <w:sz w:val="20"/>
          <w:szCs w:val="20"/>
          <w:color w:val="auto"/>
        </w:rPr>
      </w:pPr>
    </w:p>
    <w:p>
      <w:pPr>
        <w:ind w:left="660" w:hanging="424"/>
        <w:spacing w:after="0"/>
        <w:tabs>
          <w:tab w:leader="none" w:pos="6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PROCESSING AND SERVICING COSTS</w:t>
      </w:r>
    </w:p>
    <w:p>
      <w:pPr>
        <w:spacing w:after="0" w:line="245"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1"/>
        </w:trPr>
        <w:tc>
          <w:tcPr>
            <w:tcW w:w="3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1"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1"/>
        </w:trPr>
        <w:tc>
          <w:tcPr>
            <w:tcW w:w="3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940" w:type="dxa"/>
            <w:vAlign w:val="bottom"/>
            <w:gridSpan w:val="3"/>
          </w:tcPr>
          <w:p>
            <w:pPr>
              <w:ind w:left="360"/>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r>
      <w:tr>
        <w:trPr>
          <w:trHeight w:val="215"/>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Market information and data fee</w:t>
            </w:r>
          </w:p>
        </w:tc>
        <w:tc>
          <w:tcPr>
            <w:tcW w:w="4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14,529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37,482</w:t>
            </w:r>
          </w:p>
        </w:tc>
      </w:tr>
      <w:tr>
        <w:trPr>
          <w:trHeight w:val="215"/>
        </w:trPr>
        <w:tc>
          <w:tcPr>
            <w:tcW w:w="3140" w:type="dxa"/>
            <w:vAlign w:val="bottom"/>
          </w:tcPr>
          <w:p>
            <w:pPr>
              <w:spacing w:after="0"/>
              <w:rPr>
                <w:sz w:val="20"/>
                <w:szCs w:val="20"/>
                <w:color w:val="auto"/>
              </w:rPr>
            </w:pPr>
            <w:r>
              <w:rPr>
                <w:rFonts w:ascii="Arial" w:cs="Arial" w:eastAsia="Arial" w:hAnsi="Arial"/>
                <w:sz w:val="18"/>
                <w:szCs w:val="18"/>
                <w:color w:val="auto"/>
              </w:rPr>
              <w:t>Data transmission fee</w:t>
            </w:r>
          </w:p>
        </w:tc>
        <w:tc>
          <w:tcPr>
            <w:tcW w:w="4400" w:type="dxa"/>
            <w:vAlign w:val="bottom"/>
            <w:gridSpan w:val="3"/>
          </w:tcPr>
          <w:p>
            <w:pPr>
              <w:jc w:val="right"/>
              <w:ind w:right="560"/>
              <w:spacing w:after="0"/>
              <w:rPr>
                <w:sz w:val="20"/>
                <w:szCs w:val="20"/>
                <w:color w:val="auto"/>
              </w:rPr>
            </w:pPr>
            <w:r>
              <w:rPr>
                <w:rFonts w:ascii="Arial" w:cs="Arial" w:eastAsia="Arial" w:hAnsi="Arial"/>
                <w:sz w:val="18"/>
                <w:szCs w:val="18"/>
                <w:color w:val="auto"/>
              </w:rPr>
              <w:t>2,129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5,822</w:t>
            </w:r>
          </w:p>
        </w:tc>
      </w:tr>
      <w:tr>
        <w:trPr>
          <w:trHeight w:val="215"/>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Cloud service fee</w:t>
            </w:r>
          </w:p>
        </w:tc>
        <w:tc>
          <w:tcPr>
            <w:tcW w:w="4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4,353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7,636</w:t>
            </w:r>
          </w:p>
        </w:tc>
      </w:tr>
      <w:tr>
        <w:trPr>
          <w:trHeight w:val="215"/>
        </w:trPr>
        <w:tc>
          <w:tcPr>
            <w:tcW w:w="3140" w:type="dxa"/>
            <w:vAlign w:val="bottom"/>
          </w:tcPr>
          <w:p>
            <w:pPr>
              <w:spacing w:after="0"/>
              <w:rPr>
                <w:sz w:val="20"/>
                <w:szCs w:val="20"/>
                <w:color w:val="auto"/>
              </w:rPr>
            </w:pPr>
            <w:r>
              <w:rPr>
                <w:rFonts w:ascii="Arial" w:cs="Arial" w:eastAsia="Arial" w:hAnsi="Arial"/>
                <w:sz w:val="18"/>
                <w:szCs w:val="18"/>
                <w:color w:val="auto"/>
              </w:rPr>
              <w:t>SMS service fee</w:t>
            </w:r>
          </w:p>
        </w:tc>
        <w:tc>
          <w:tcPr>
            <w:tcW w:w="4400" w:type="dxa"/>
            <w:vAlign w:val="bottom"/>
            <w:gridSpan w:val="3"/>
          </w:tcPr>
          <w:p>
            <w:pPr>
              <w:jc w:val="right"/>
              <w:ind w:right="560"/>
              <w:spacing w:after="0"/>
              <w:rPr>
                <w:sz w:val="20"/>
                <w:szCs w:val="20"/>
                <w:color w:val="auto"/>
              </w:rPr>
            </w:pPr>
            <w:r>
              <w:rPr>
                <w:rFonts w:ascii="Arial" w:cs="Arial" w:eastAsia="Arial" w:hAnsi="Arial"/>
                <w:sz w:val="18"/>
                <w:szCs w:val="18"/>
                <w:color w:val="auto"/>
              </w:rPr>
              <w:t>1,401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1,148</w:t>
            </w:r>
          </w:p>
        </w:tc>
      </w:tr>
      <w:tr>
        <w:trPr>
          <w:trHeight w:val="215"/>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r>
      <w:tr>
        <w:trPr>
          <w:trHeight w:val="222"/>
        </w:trPr>
        <w:tc>
          <w:tcPr>
            <w:tcW w:w="3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3"/>
              </w:rPr>
              <w:t>22,880</w:t>
            </w: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52,446</w:t>
            </w:r>
          </w:p>
        </w:tc>
        <w:tc>
          <w:tcPr>
            <w:tcW w:w="6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140" w:type="dxa"/>
            <w:vAlign w:val="bottom"/>
          </w:tcPr>
          <w:p>
            <w:pPr>
              <w:spacing w:after="0"/>
              <w:rPr>
                <w:sz w:val="24"/>
                <w:szCs w:val="24"/>
                <w:color w:val="auto"/>
              </w:rPr>
            </w:pPr>
          </w:p>
        </w:tc>
        <w:tc>
          <w:tcPr>
            <w:tcW w:w="4400" w:type="dxa"/>
            <w:vAlign w:val="bottom"/>
            <w:gridSpan w:val="3"/>
          </w:tcPr>
          <w:p>
            <w:pPr>
              <w:jc w:val="right"/>
              <w:ind w:right="3220"/>
              <w:spacing w:after="0"/>
              <w:rPr>
                <w:sz w:val="20"/>
                <w:szCs w:val="20"/>
                <w:color w:val="auto"/>
              </w:rPr>
            </w:pPr>
            <w:r>
              <w:rPr>
                <w:rFonts w:ascii="Arial" w:cs="Arial" w:eastAsia="Arial" w:hAnsi="Arial"/>
                <w:sz w:val="18"/>
                <w:szCs w:val="18"/>
                <w:color w:val="auto"/>
              </w:rPr>
              <w:t>F-45</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20"/>
          </w:cols>
          <w:pgMar w:left="240" w:top="458" w:right="13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8660" w:hanging="444"/>
        <w:spacing w:after="0" w:line="375" w:lineRule="auto"/>
        <w:tabs>
          <w:tab w:leader="none" w:pos="672"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b w:val="1"/>
          <w:bCs w:val="1"/>
          <w:i w:val="1"/>
          <w:iCs w:val="1"/>
          <w:color w:val="auto"/>
        </w:rPr>
        <w:t>Value-added tax (“VAT”)</w:t>
      </w:r>
    </w:p>
    <w:p>
      <w:pPr>
        <w:spacing w:after="0" w:line="2" w:lineRule="exact"/>
        <w:rPr>
          <w:sz w:val="20"/>
          <w:szCs w:val="20"/>
          <w:color w:val="auto"/>
        </w:rPr>
      </w:pPr>
    </w:p>
    <w:p>
      <w:pPr>
        <w:ind w:left="240" w:right="120" w:firstLine="438"/>
        <w:spacing w:after="0" w:line="275" w:lineRule="auto"/>
        <w:rPr>
          <w:sz w:val="20"/>
          <w:szCs w:val="20"/>
          <w:color w:val="auto"/>
        </w:rPr>
      </w:pPr>
      <w:r>
        <w:rPr>
          <w:rFonts w:ascii="Arial" w:cs="Arial" w:eastAsia="Arial" w:hAnsi="Arial"/>
          <w:sz w:val="18"/>
          <w:szCs w:val="18"/>
          <w:color w:val="auto"/>
        </w:rPr>
        <w:t>During the periods presented, the Group is subject to 6% VAT rate for the income arising from rending financial technology services to its clients in PRC.</w:t>
      </w:r>
    </w:p>
    <w:p>
      <w:pPr>
        <w:spacing w:after="0" w:line="170" w:lineRule="exact"/>
        <w:rPr>
          <w:sz w:val="20"/>
          <w:szCs w:val="20"/>
          <w:color w:val="auto"/>
        </w:rPr>
      </w:pPr>
    </w:p>
    <w:p>
      <w:pPr>
        <w:ind w:left="240" w:right="280" w:firstLine="438"/>
        <w:spacing w:after="0" w:line="275" w:lineRule="auto"/>
        <w:rPr>
          <w:sz w:val="20"/>
          <w:szCs w:val="20"/>
          <w:color w:val="auto"/>
        </w:rPr>
      </w:pPr>
      <w:r>
        <w:rPr>
          <w:rFonts w:ascii="Arial" w:cs="Arial" w:eastAsia="Arial" w:hAnsi="Arial"/>
          <w:sz w:val="18"/>
          <w:szCs w:val="18"/>
          <w:color w:val="auto"/>
        </w:rPr>
        <w:t>Except that Futu Network Technology (Shenzhen) Co., Ltd. converted from Small-scale VAT Taxpayer to general VAT Taxpayer in April 2016 and was subject to 3% VAT rate for services income during January to March 2016.</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Group is also subject to surcharges on VAT payments according to PRC tax.</w:t>
      </w:r>
    </w:p>
    <w:p>
      <w:pPr>
        <w:spacing w:after="0" w:line="33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Income Tax</w:t>
      </w:r>
    </w:p>
    <w:p>
      <w:pPr>
        <w:spacing w:after="0" w:line="129" w:lineRule="exact"/>
        <w:rPr>
          <w:sz w:val="20"/>
          <w:szCs w:val="20"/>
          <w:color w:val="auto"/>
        </w:rPr>
      </w:pPr>
    </w:p>
    <w:p>
      <w:pPr>
        <w:ind w:left="660" w:hanging="424"/>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5" w:lineRule="exact"/>
        <w:rPr>
          <w:sz w:val="20"/>
          <w:szCs w:val="20"/>
          <w:color w:val="auto"/>
        </w:rPr>
      </w:pPr>
    </w:p>
    <w:p>
      <w:pPr>
        <w:ind w:left="240" w:right="40" w:firstLine="438"/>
        <w:spacing w:after="0" w:line="305" w:lineRule="auto"/>
        <w:rPr>
          <w:sz w:val="20"/>
          <w:szCs w:val="20"/>
          <w:color w:val="auto"/>
        </w:rPr>
      </w:pPr>
      <w:r>
        <w:rPr>
          <w:rFonts w:ascii="Arial" w:cs="Arial" w:eastAsia="Arial" w:hAnsi="Arial"/>
          <w:sz w:val="17"/>
          <w:szCs w:val="17"/>
          <w:color w:val="auto"/>
        </w:rPr>
        <w:t>The Company was incorporated in the Cayman Islands. Under the current laws of the Cayman Islands, the Company is not subject to tax on either income or capital gain. Additionally, the Cayman Islands does not impose a withholding tax on payments of dividends to shareholders.</w:t>
      </w:r>
    </w:p>
    <w:p>
      <w:pPr>
        <w:spacing w:after="0" w:line="295" w:lineRule="exact"/>
        <w:rPr>
          <w:sz w:val="20"/>
          <w:szCs w:val="20"/>
          <w:color w:val="auto"/>
        </w:rPr>
      </w:pPr>
    </w:p>
    <w:p>
      <w:pPr>
        <w:ind w:left="660" w:hanging="424"/>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Hong Kong</w:t>
      </w:r>
    </w:p>
    <w:p>
      <w:pPr>
        <w:spacing w:after="0" w:line="115" w:lineRule="exact"/>
        <w:rPr>
          <w:sz w:val="20"/>
          <w:szCs w:val="20"/>
          <w:color w:val="auto"/>
        </w:rPr>
      </w:pPr>
    </w:p>
    <w:p>
      <w:pPr>
        <w:ind w:left="240" w:right="180" w:firstLine="438"/>
        <w:spacing w:after="0" w:line="262" w:lineRule="auto"/>
        <w:rPr>
          <w:sz w:val="20"/>
          <w:szCs w:val="20"/>
          <w:color w:val="auto"/>
        </w:rPr>
      </w:pPr>
      <w:r>
        <w:rPr>
          <w:rFonts w:ascii="Arial" w:cs="Arial" w:eastAsia="Arial" w:hAnsi="Arial"/>
          <w:sz w:val="18"/>
          <w:szCs w:val="18"/>
          <w:color w:val="auto"/>
        </w:rPr>
        <w:t>Under the current Hong Kong Inland Revenue Ordinance, Installment Hong Kong is subject to 16.5% income tax rate on its taxable income generated from operations in Hong Kong. Additionally, payments of dividends by the subsidiaries incorporated in Hong Kong to the Company are not subject to any Hong Kong withholding tax.</w:t>
      </w:r>
    </w:p>
    <w:p>
      <w:pPr>
        <w:spacing w:after="0" w:line="329" w:lineRule="exact"/>
        <w:rPr>
          <w:sz w:val="20"/>
          <w:szCs w:val="20"/>
          <w:color w:val="auto"/>
        </w:rPr>
      </w:pPr>
    </w:p>
    <w:p>
      <w:pPr>
        <w:ind w:left="660" w:hanging="424"/>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China</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Company’s subsidiaries, consolidated VIE and subsidiary of the VIE established in the PRC are subject to statutory income tax at a rate of</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w:t>
      </w:r>
    </w:p>
    <w:p>
      <w:pPr>
        <w:spacing w:after="0" w:line="208" w:lineRule="exact"/>
        <w:rPr>
          <w:sz w:val="20"/>
          <w:szCs w:val="20"/>
          <w:color w:val="auto"/>
        </w:rPr>
      </w:pPr>
    </w:p>
    <w:p>
      <w:pPr>
        <w:ind w:left="240" w:firstLine="438"/>
        <w:spacing w:after="0" w:line="292" w:lineRule="auto"/>
        <w:rPr>
          <w:sz w:val="20"/>
          <w:szCs w:val="20"/>
          <w:color w:val="auto"/>
        </w:rPr>
      </w:pPr>
      <w:r>
        <w:rPr>
          <w:rFonts w:ascii="Arial" w:cs="Arial" w:eastAsia="Arial" w:hAnsi="Arial"/>
          <w:sz w:val="16"/>
          <w:szCs w:val="16"/>
          <w:color w:val="auto"/>
        </w:rPr>
        <w:t>Under the Enterprise Income Tax (“EIT”) Law enacted by the National People’s Congress of PRC on March 16, 2007 and its implementation rules which became effective on January 1, 2008, dividends generated after January 1, 2008 and payable by FIEs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61" w:lineRule="exact"/>
        <w:rPr>
          <w:sz w:val="20"/>
          <w:szCs w:val="20"/>
          <w:color w:val="auto"/>
        </w:rPr>
      </w:pPr>
    </w:p>
    <w:p>
      <w:pPr>
        <w:ind w:left="240" w:right="80" w:firstLine="438"/>
        <w:spacing w:after="0" w:line="255" w:lineRule="auto"/>
        <w:rPr>
          <w:sz w:val="20"/>
          <w:szCs w:val="20"/>
          <w:color w:val="auto"/>
        </w:rPr>
      </w:pPr>
      <w:r>
        <w:rPr>
          <w:rFonts w:ascii="Arial" w:cs="Arial" w:eastAsia="Arial" w:hAnsi="Arial"/>
          <w:sz w:val="18"/>
          <w:szCs w:val="18"/>
          <w:color w:val="auto"/>
        </w:rPr>
        <w:t>The EIT Law includes a provision specifying that legal entities organized outside of the PRC will be considered resident enterprises for the PRC income tax purposes if the place of effective management or control is within the PRC. The implementation rules to the EIT Law provide that non-resident legal entities will be considered as PRC resident enterprises if substantial and overall management and control over the manufacturing and business operations, personnel, accounting, properties, etc., occurs within the PRC. Despite the present uncertainties resulting from the limited PRC tax guidance on the issue, the Group does not believe that the</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80"/>
          </w:cols>
          <w:pgMar w:left="240" w:top="457"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8620" w:hanging="444"/>
        <w:spacing w:after="0" w:line="431" w:lineRule="auto"/>
        <w:tabs>
          <w:tab w:leader="none" w:pos="672"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TAXATION (Continued) </w:t>
      </w:r>
      <w:r>
        <w:rPr>
          <w:rFonts w:ascii="Arial" w:cs="Arial" w:eastAsia="Arial" w:hAnsi="Arial"/>
          <w:sz w:val="16"/>
          <w:szCs w:val="16"/>
          <w:b w:val="1"/>
          <w:bCs w:val="1"/>
          <w:i w:val="1"/>
          <w:iCs w:val="1"/>
          <w:color w:val="auto"/>
        </w:rPr>
        <w:t>Income Tax (Continued)</w:t>
      </w:r>
    </w:p>
    <w:p>
      <w:pPr>
        <w:spacing w:after="0" w:line="1" w:lineRule="exact"/>
        <w:rPr>
          <w:sz w:val="20"/>
          <w:szCs w:val="20"/>
          <w:color w:val="auto"/>
        </w:rPr>
      </w:pPr>
    </w:p>
    <w:p>
      <w:pPr>
        <w:ind w:left="660" w:hanging="424"/>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China (Continued)</w:t>
      </w:r>
    </w:p>
    <w:p>
      <w:pPr>
        <w:spacing w:after="0" w:line="129" w:lineRule="exact"/>
        <w:rPr>
          <w:sz w:val="20"/>
          <w:szCs w:val="20"/>
          <w:color w:val="auto"/>
        </w:rPr>
      </w:pPr>
    </w:p>
    <w:p>
      <w:pPr>
        <w:jc w:val="both"/>
        <w:ind w:left="240" w:right="360"/>
        <w:spacing w:after="0" w:line="262" w:lineRule="auto"/>
        <w:rPr>
          <w:sz w:val="20"/>
          <w:szCs w:val="20"/>
          <w:color w:val="auto"/>
        </w:rPr>
      </w:pPr>
      <w:r>
        <w:rPr>
          <w:rFonts w:ascii="Arial" w:cs="Arial" w:eastAsia="Arial" w:hAnsi="Arial"/>
          <w:sz w:val="18"/>
          <w:szCs w:val="18"/>
          <w:color w:val="auto"/>
        </w:rPr>
        <w:t>Group’s entities organized outside of the PRC should be treated as resident enterprises for the PRC income tax purposes. If the PRC tax authorities subsequently determine that the Company and its subsidiary registered outside the PRC should be deemed resident enterprises, the Company and its subsidiary registered outside the PRC will be subject to the PRC income tax, at a rate of 25%.</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Composition of income tax (benefit)/expense</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sets forth current and deferred portion of income tax (benefit)/expense:</w:t>
      </w:r>
    </w:p>
    <w:p>
      <w:pPr>
        <w:spacing w:after="0" w:line="241"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4941570</wp:posOffset>
            </wp:positionH>
            <wp:positionV relativeFrom="paragraph">
              <wp:posOffset>5715</wp:posOffset>
            </wp:positionV>
            <wp:extent cx="12960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ind w:left="8000"/>
        <w:spacing w:after="0"/>
        <w:tabs>
          <w:tab w:leader="none" w:pos="93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4941570</wp:posOffset>
            </wp:positionH>
            <wp:positionV relativeFrom="paragraph">
              <wp:posOffset>-3810</wp:posOffset>
            </wp:positionV>
            <wp:extent cx="12960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ind w:left="8200"/>
        <w:spacing w:after="0" w:line="230" w:lineRule="auto"/>
        <w:rPr>
          <w:sz w:val="20"/>
          <w:szCs w:val="20"/>
          <w:color w:val="auto"/>
        </w:rPr>
      </w:pPr>
      <w:r>
        <w:rPr>
          <w:rFonts w:ascii="Arial" w:cs="Arial" w:eastAsia="Arial" w:hAnsi="Arial"/>
          <w:sz w:val="14"/>
          <w:szCs w:val="14"/>
          <w:b w:val="1"/>
          <w:bCs w:val="1"/>
          <w:color w:val="auto"/>
        </w:rPr>
        <w:t>(HK$ in thousands)</w:t>
      </w:r>
    </w:p>
    <w:p>
      <w:pPr>
        <w:spacing w:after="0" w:line="8"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6,286</w:t>
            </w:r>
          </w:p>
        </w:tc>
      </w:tr>
      <w:tr>
        <w:trPr>
          <w:trHeight w:val="215"/>
        </w:trPr>
        <w:tc>
          <w:tcPr>
            <w:tcW w:w="6220" w:type="dxa"/>
            <w:vAlign w:val="bottom"/>
          </w:tcPr>
          <w:p>
            <w:pPr>
              <w:spacing w:after="0"/>
              <w:rPr>
                <w:sz w:val="20"/>
                <w:szCs w:val="20"/>
                <w:color w:val="auto"/>
              </w:rPr>
            </w:pPr>
            <w:r>
              <w:rPr>
                <w:rFonts w:ascii="Arial" w:cs="Arial" w:eastAsia="Arial" w:hAnsi="Arial"/>
                <w:sz w:val="18"/>
                <w:szCs w:val="18"/>
                <w:color w:val="auto"/>
              </w:rPr>
              <w:t>Deferred income tax (benefit)/expense</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(13,276)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5,194</w:t>
            </w:r>
          </w:p>
        </w:tc>
      </w:tr>
      <w:tr>
        <w:trPr>
          <w:trHeight w:val="27"/>
        </w:trPr>
        <w:tc>
          <w:tcPr>
            <w:tcW w:w="6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(13,276)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11,480</w:t>
            </w:r>
          </w:p>
        </w:tc>
      </w:tr>
      <w:tr>
        <w:trPr>
          <w:trHeight w:val="20"/>
        </w:trPr>
        <w:tc>
          <w:tcPr>
            <w:tcW w:w="6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Tax Reconciliation</w:t>
      </w:r>
    </w:p>
    <w:p>
      <w:pPr>
        <w:spacing w:after="0" w:line="115" w:lineRule="exact"/>
        <w:rPr>
          <w:sz w:val="20"/>
          <w:szCs w:val="20"/>
          <w:color w:val="auto"/>
        </w:rPr>
      </w:pPr>
    </w:p>
    <w:p>
      <w:pPr>
        <w:ind w:left="240" w:right="20" w:firstLine="438"/>
        <w:spacing w:after="0" w:line="275" w:lineRule="auto"/>
        <w:rPr>
          <w:sz w:val="20"/>
          <w:szCs w:val="20"/>
          <w:color w:val="auto"/>
        </w:rPr>
      </w:pPr>
      <w:r>
        <w:rPr>
          <w:rFonts w:ascii="Arial" w:cs="Arial" w:eastAsia="Arial" w:hAnsi="Arial"/>
          <w:sz w:val="18"/>
          <w:szCs w:val="18"/>
          <w:color w:val="auto"/>
        </w:rPr>
        <w:t>Reconciliation between the income tax (benefit)/expenses computed by applying the Hong Kong enterprise tax rate to income before income taxes and actual provision were as follows:</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41"/>
              <w:spacing w:after="0" w:line="141"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8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3"/>
              </w:rPr>
              <w:t>(HK$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(Loss)/income before income tax</w:t>
            </w:r>
          </w:p>
        </w:tc>
        <w:tc>
          <w:tcPr>
            <w:tcW w:w="5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(111,747)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322"/>
        </w:trPr>
        <w:tc>
          <w:tcPr>
            <w:tcW w:w="4900" w:type="dxa"/>
            <w:vAlign w:val="bottom"/>
            <w:gridSpan w:val="2"/>
          </w:tcPr>
          <w:p>
            <w:pPr>
              <w:spacing w:after="0"/>
              <w:rPr>
                <w:sz w:val="20"/>
                <w:szCs w:val="20"/>
                <w:color w:val="auto"/>
              </w:rPr>
            </w:pPr>
            <w:r>
              <w:rPr>
                <w:rFonts w:ascii="Arial" w:cs="Arial" w:eastAsia="Arial" w:hAnsi="Arial"/>
                <w:sz w:val="18"/>
                <w:szCs w:val="18"/>
                <w:color w:val="auto"/>
              </w:rPr>
              <w:t>Tax (benefit)/expense at Hong Kong profit tax rate of 16.5%</w:t>
            </w:r>
          </w:p>
        </w:tc>
        <w:tc>
          <w:tcPr>
            <w:tcW w:w="5220" w:type="dxa"/>
            <w:vAlign w:val="bottom"/>
            <w:gridSpan w:val="3"/>
          </w:tcPr>
          <w:p>
            <w:pPr>
              <w:jc w:val="right"/>
              <w:ind w:right="380"/>
              <w:spacing w:after="0"/>
              <w:rPr>
                <w:sz w:val="20"/>
                <w:szCs w:val="20"/>
                <w:color w:val="auto"/>
              </w:rPr>
            </w:pPr>
            <w:r>
              <w:rPr>
                <w:rFonts w:ascii="Arial" w:cs="Arial" w:eastAsia="Arial" w:hAnsi="Arial"/>
                <w:sz w:val="18"/>
                <w:szCs w:val="18"/>
                <w:color w:val="auto"/>
              </w:rPr>
              <w:t>(18,438)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5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2,516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Tax effect of permanence differences</w:t>
            </w:r>
          </w:p>
        </w:tc>
        <w:tc>
          <w:tcPr>
            <w:tcW w:w="5220" w:type="dxa"/>
            <w:vAlign w:val="bottom"/>
            <w:gridSpan w:val="3"/>
          </w:tcPr>
          <w:p>
            <w:pPr>
              <w:jc w:val="right"/>
              <w:ind w:right="420"/>
              <w:spacing w:after="0"/>
              <w:rPr>
                <w:sz w:val="20"/>
                <w:szCs w:val="20"/>
                <w:color w:val="auto"/>
              </w:rPr>
            </w:pPr>
            <w:r>
              <w:rPr>
                <w:rFonts w:ascii="Arial" w:cs="Arial" w:eastAsia="Arial" w:hAnsi="Arial"/>
                <w:sz w:val="18"/>
                <w:szCs w:val="18"/>
                <w:color w:val="auto"/>
              </w:rPr>
              <w:t>10,178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9"/>
              </w:rPr>
              <w:t>Effect of income tax in jurisdictions other than the Hong Kong</w:t>
            </w:r>
          </w:p>
        </w:tc>
        <w:tc>
          <w:tcPr>
            <w:tcW w:w="5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(7,528)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Others</w:t>
            </w:r>
          </w:p>
        </w:tc>
        <w:tc>
          <w:tcPr>
            <w:tcW w:w="406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40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(13,276)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220" w:type="dxa"/>
            <w:vAlign w:val="bottom"/>
            <w:gridSpan w:val="3"/>
          </w:tcPr>
          <w:p>
            <w:pPr>
              <w:jc w:val="right"/>
              <w:ind w:right="4480"/>
              <w:spacing w:after="0"/>
              <w:rPr>
                <w:sz w:val="20"/>
                <w:szCs w:val="20"/>
                <w:color w:val="auto"/>
              </w:rPr>
            </w:pPr>
            <w:r>
              <w:rPr>
                <w:rFonts w:ascii="Arial" w:cs="Arial" w:eastAsia="Arial" w:hAnsi="Arial"/>
                <w:sz w:val="18"/>
                <w:szCs w:val="18"/>
                <w:color w:val="auto"/>
              </w:rPr>
              <w:t>F-47</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8540" w:hanging="444"/>
        <w:spacing w:after="0" w:line="406" w:lineRule="auto"/>
        <w:tabs>
          <w:tab w:leader="none" w:pos="672"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TAXATION (Continued) </w:t>
      </w:r>
      <w:r>
        <w:rPr>
          <w:rFonts w:ascii="Arial" w:cs="Arial" w:eastAsia="Arial" w:hAnsi="Arial"/>
          <w:sz w:val="17"/>
          <w:szCs w:val="17"/>
          <w:b w:val="1"/>
          <w:bCs w:val="1"/>
          <w:i w:val="1"/>
          <w:iCs w:val="1"/>
          <w:color w:val="auto"/>
        </w:rPr>
        <w:t>Deferred Tax Assets</w:t>
      </w:r>
    </w:p>
    <w:p>
      <w:pPr>
        <w:spacing w:after="0" w:line="1" w:lineRule="exact"/>
        <w:rPr>
          <w:sz w:val="20"/>
          <w:szCs w:val="20"/>
          <w:color w:val="auto"/>
        </w:rPr>
      </w:pPr>
    </w:p>
    <w:p>
      <w:pPr>
        <w:ind w:left="240" w:right="540" w:firstLine="438"/>
        <w:spacing w:after="0" w:line="339" w:lineRule="auto"/>
        <w:rPr>
          <w:sz w:val="20"/>
          <w:szCs w:val="20"/>
          <w:color w:val="auto"/>
        </w:rPr>
      </w:pPr>
      <w:r>
        <w:rPr>
          <w:rFonts w:ascii="Arial" w:cs="Arial" w:eastAsia="Arial" w:hAnsi="Arial"/>
          <w:sz w:val="16"/>
          <w:szCs w:val="16"/>
          <w:color w:val="auto"/>
        </w:rPr>
        <w:t>Deferred income tax expense reflects the net tax effects of temporary differences between the carrying amounts of assets and liabilities for financial reporting purposes and the amounts used for income tax purposes. The components of the deferred tax assets are as follows:</w:t>
      </w:r>
    </w:p>
    <w:p>
      <w:pPr>
        <w:spacing w:after="0" w:line="143"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1"/>
        </w:trPr>
        <w:tc>
          <w:tcPr>
            <w:tcW w:w="8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140"/>
              <w:spacing w:after="0" w:line="141"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gridSpan w:val="6"/>
          </w:tcPr>
          <w:p>
            <w:pPr>
              <w:jc w:val="right"/>
              <w:ind w:right="94"/>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420" w:type="dxa"/>
            <w:vAlign w:val="bottom"/>
            <w:gridSpan w:val="5"/>
          </w:tcPr>
          <w:p>
            <w:pPr>
              <w:jc w:val="right"/>
              <w:ind w:right="340"/>
              <w:spacing w:after="0"/>
              <w:rPr>
                <w:sz w:val="20"/>
                <w:szCs w:val="20"/>
                <w:color w:val="auto"/>
              </w:rPr>
            </w:pPr>
            <w:r>
              <w:rPr>
                <w:rFonts w:ascii="Arial" w:cs="Arial" w:eastAsia="Arial" w:hAnsi="Arial"/>
                <w:sz w:val="18"/>
                <w:szCs w:val="18"/>
                <w:color w:val="auto"/>
              </w:rPr>
              <w:t>27,616</w:t>
            </w:r>
          </w:p>
        </w:tc>
        <w:tc>
          <w:tcPr>
            <w:tcW w:w="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others</w:t>
            </w:r>
          </w:p>
        </w:tc>
        <w:tc>
          <w:tcPr>
            <w:tcW w:w="142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520" w:type="dxa"/>
            <w:vAlign w:val="bottom"/>
          </w:tcPr>
          <w:p>
            <w:pPr>
              <w:spacing w:after="0"/>
              <w:rPr>
                <w:sz w:val="18"/>
                <w:szCs w:val="18"/>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color w:val="auto"/>
              </w:rPr>
              <w:t>(9,050)</w:t>
            </w: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5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w w:val="98"/>
              </w:rPr>
              <w:t>19,839</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Movement of Valuation Allowance</w:t>
            </w: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70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220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1"/>
        </w:trPr>
        <w:tc>
          <w:tcPr>
            <w:tcW w:w="8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4"/>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140" w:type="dxa"/>
            <w:vAlign w:val="bottom"/>
            <w:gridSpan w:val="8"/>
          </w:tcPr>
          <w:p>
            <w:pPr>
              <w:ind w:left="480"/>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6,534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Additions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2,516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Reversals</w:t>
            </w:r>
          </w:p>
        </w:tc>
        <w:tc>
          <w:tcPr>
            <w:tcW w:w="1440" w:type="dxa"/>
            <w:vAlign w:val="bottom"/>
            <w:gridSpan w:val="6"/>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Balance at end of the year</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9,050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firstLine="438"/>
        <w:spacing w:after="0" w:line="254" w:lineRule="auto"/>
        <w:rPr>
          <w:sz w:val="20"/>
          <w:szCs w:val="20"/>
          <w:color w:val="auto"/>
        </w:rPr>
      </w:pPr>
      <w:r>
        <w:rPr>
          <w:rFonts w:ascii="Arial" w:cs="Arial" w:eastAsia="Arial" w:hAnsi="Arial"/>
          <w:sz w:val="18"/>
          <w:szCs w:val="18"/>
          <w:color w:val="auto"/>
        </w:rPr>
        <w:t>Valuation allowance is provided against deferred tax assets when the Group determines that it is more-likely-than-not that the deferred tax assets will not be utilized in the future. 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businesses. The statutory rate of 25% or 16.5%, depending on which entity, was applied when calculating deferred tax assets.</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December 31, 2016 and 2017, the Group had net operating loss carryforwards of approximately HK$140,461 thousand and</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HK$190,627 thousand, respectively, which arose from the subsidiaries, VIE and the VIE’s subsidiary established in Hong Kong and PRC. As of</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December 31, 2016 and 2017, of the net operating loss carryforwards, HK$58,681 thousand and HK$129,645 thousand was provided for full valuation</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allowance respectively, while the remaining HK$81,780 thousand and HK$60,982 thousand is expected to be utilized prior to expiration considering</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future taxable income for respective entities. As of December 31, 2017, the net operating loss carryforwards will expire during the period from 2018 to</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2022, if unused.</w:t>
      </w:r>
    </w:p>
    <w:p>
      <w:pPr>
        <w:spacing w:after="0" w:line="208" w:lineRule="exact"/>
        <w:rPr>
          <w:sz w:val="20"/>
          <w:szCs w:val="20"/>
          <w:color w:val="auto"/>
        </w:rPr>
      </w:pPr>
    </w:p>
    <w:p>
      <w:pPr>
        <w:ind w:left="240" w:right="40" w:firstLine="438"/>
        <w:spacing w:after="0" w:line="262" w:lineRule="auto"/>
        <w:rPr>
          <w:sz w:val="20"/>
          <w:szCs w:val="20"/>
          <w:color w:val="auto"/>
        </w:rPr>
      </w:pPr>
      <w:r>
        <w:rPr>
          <w:rFonts w:ascii="Arial" w:cs="Arial" w:eastAsia="Arial" w:hAnsi="Arial"/>
          <w:sz w:val="18"/>
          <w:szCs w:val="18"/>
          <w:color w:val="auto"/>
        </w:rPr>
        <w:t>The Company intends to indefinitely reinvest all the undistributed earnings of the Company’s VIE and subsidiary of the VIE in China, and does not plan to have any of its PRC subsidiaries to distribute any dividend; therefore no withholding tax is expected to be incurred in the foreseeable future. Accordingly, no income tax is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240" w:top="458" w:right="5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TAXATION (Continued)</w:t>
      </w:r>
    </w:p>
    <w:p>
      <w:pPr>
        <w:spacing w:after="0" w:line="11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Movement of Valuation Allowance (Continued)</w:t>
      </w:r>
    </w:p>
    <w:p>
      <w:pPr>
        <w:spacing w:after="0" w:line="129" w:lineRule="exact"/>
        <w:rPr>
          <w:sz w:val="20"/>
          <w:szCs w:val="20"/>
          <w:color w:val="auto"/>
        </w:rPr>
      </w:pPr>
    </w:p>
    <w:p>
      <w:pPr>
        <w:ind w:left="240" w:right="240"/>
        <w:spacing w:after="0" w:line="275" w:lineRule="auto"/>
        <w:rPr>
          <w:sz w:val="20"/>
          <w:szCs w:val="20"/>
          <w:color w:val="auto"/>
        </w:rPr>
      </w:pPr>
      <w:r>
        <w:rPr>
          <w:rFonts w:ascii="Arial" w:cs="Arial" w:eastAsia="Arial" w:hAnsi="Arial"/>
          <w:sz w:val="18"/>
          <w:szCs w:val="18"/>
          <w:color w:val="auto"/>
        </w:rPr>
        <w:t>accrued on the undistributed earnings of the Company’s VIE and subsidiary of the VIE as of December 31, 2016 and 2017. As of December 31, 2016 and 2017, the Group’s PRC subsidiary was still in accumulated deficit position.</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Uncertain Tax Position</w:t>
      </w:r>
    </w:p>
    <w:p>
      <w:pPr>
        <w:spacing w:after="0" w:line="115" w:lineRule="exact"/>
        <w:rPr>
          <w:sz w:val="20"/>
          <w:szCs w:val="20"/>
          <w:color w:val="auto"/>
        </w:rPr>
      </w:pPr>
    </w:p>
    <w:p>
      <w:pPr>
        <w:ind w:left="240" w:firstLine="438"/>
        <w:spacing w:after="0" w:line="262" w:lineRule="auto"/>
        <w:rPr>
          <w:sz w:val="20"/>
          <w:szCs w:val="20"/>
          <w:color w:val="auto"/>
        </w:rPr>
      </w:pPr>
      <w:r>
        <w:rPr>
          <w:rFonts w:ascii="Arial" w:cs="Arial" w:eastAsia="Arial" w:hAnsi="Arial"/>
          <w:sz w:val="18"/>
          <w:szCs w:val="18"/>
          <w:color w:val="auto"/>
        </w:rPr>
        <w:t>The Group did not identify significant unrecognized tax benefits for the years ended December 31, 2016 and 2017. The Group did not incur any interest related to unrecognized tax benefits, did not recognize any penalties as income tax expense and also does not anticipate any significant change in unrecognized tax benefits within 12 months from December 31, 2017.</w:t>
      </w:r>
    </w:p>
    <w:p>
      <w:pPr>
        <w:spacing w:after="0" w:line="325" w:lineRule="exact"/>
        <w:rPr>
          <w:sz w:val="20"/>
          <w:szCs w:val="20"/>
          <w:color w:val="auto"/>
        </w:rPr>
      </w:pPr>
    </w:p>
    <w:p>
      <w:pPr>
        <w:ind w:left="660" w:hanging="424"/>
        <w:spacing w:after="0"/>
        <w:tabs>
          <w:tab w:leader="none" w:pos="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19" w:lineRule="exact"/>
        <w:rPr>
          <w:sz w:val="20"/>
          <w:szCs w:val="20"/>
          <w:color w:val="auto"/>
        </w:rPr>
      </w:pPr>
    </w:p>
    <w:p>
      <w:pPr>
        <w:ind w:left="240" w:right="300" w:firstLine="438"/>
        <w:spacing w:after="0" w:line="254" w:lineRule="auto"/>
        <w:rPr>
          <w:sz w:val="20"/>
          <w:szCs w:val="20"/>
          <w:color w:val="auto"/>
        </w:rPr>
      </w:pPr>
      <w:r>
        <w:rPr>
          <w:rFonts w:ascii="Arial" w:cs="Arial" w:eastAsia="Arial" w:hAnsi="Arial"/>
          <w:sz w:val="18"/>
          <w:szCs w:val="18"/>
          <w:color w:val="auto"/>
        </w:rPr>
        <w:t>Full-time employees of the Group in the PRC are entitled to welfare benefits including pension insurance, medical insurance unemployment insurance, maternity insurance, on-the-job injury insurance, and housing fund plans through a PRC government-mandated defined contribution plan. Chinese labor regulations require that the Group makes contributions to the government for these benefits based on certain percentages of the employees’ salaries, up to a maximum amount specified by the local government. The Group has no legal obligation for the benefits beyond the contributions. Total contributions by the Group for such employee benefits were RMB8,494 thousand and RMB12,171 thousand for the year ended December 31, 2016 and 2017, respectively.</w:t>
      </w:r>
    </w:p>
    <w:p>
      <w:pPr>
        <w:spacing w:after="0" w:line="190" w:lineRule="exact"/>
        <w:rPr>
          <w:sz w:val="20"/>
          <w:szCs w:val="20"/>
          <w:color w:val="auto"/>
        </w:rPr>
      </w:pPr>
    </w:p>
    <w:p>
      <w:pPr>
        <w:ind w:left="240" w:right="20" w:firstLine="438"/>
        <w:spacing w:after="0" w:line="295" w:lineRule="auto"/>
        <w:rPr>
          <w:sz w:val="20"/>
          <w:szCs w:val="20"/>
          <w:color w:val="auto"/>
        </w:rPr>
      </w:pPr>
      <w:r>
        <w:rPr>
          <w:rFonts w:ascii="Arial" w:cs="Arial" w:eastAsia="Arial" w:hAnsi="Arial"/>
          <w:sz w:val="16"/>
          <w:szCs w:val="16"/>
          <w:color w:val="auto"/>
        </w:rPr>
        <w:t>For the employees in Hong Kong, the group pays contributions to publicly or privately administered pension insurance plans on a mandatory, contractual basis. The group has no further payment obligations once the contributions have been paid. The contributions are recognized as employee benefit expense when they are due. Prepaid contributions are recognized as an asset to the extent that a cash refund or a reduction in the future payments is available. Included in employee compensation and benefits expenses in the consolidated statements of comprehensive loss were HK$464 thousand and HK$672 thousand of plan contributions for each of the two years ended December 31, 2016 and 2017, respectively.</w:t>
      </w:r>
    </w:p>
    <w:p>
      <w:pPr>
        <w:spacing w:after="0" w:line="302" w:lineRule="exact"/>
        <w:rPr>
          <w:sz w:val="20"/>
          <w:szCs w:val="20"/>
          <w:color w:val="auto"/>
        </w:rPr>
      </w:pPr>
    </w:p>
    <w:p>
      <w:pPr>
        <w:ind w:left="660" w:hanging="424"/>
        <w:spacing w:after="0"/>
        <w:tabs>
          <w:tab w:leader="none" w:pos="6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REQUIREMENTS</w:t>
      </w:r>
    </w:p>
    <w:p>
      <w:pPr>
        <w:spacing w:after="0" w:line="119" w:lineRule="exact"/>
        <w:rPr>
          <w:sz w:val="20"/>
          <w:szCs w:val="20"/>
          <w:color w:val="auto"/>
        </w:rPr>
      </w:pPr>
    </w:p>
    <w:p>
      <w:pPr>
        <w:ind w:left="240" w:right="80" w:firstLine="438"/>
        <w:spacing w:after="0" w:line="254" w:lineRule="auto"/>
        <w:rPr>
          <w:sz w:val="20"/>
          <w:szCs w:val="20"/>
          <w:color w:val="auto"/>
        </w:rPr>
      </w:pPr>
      <w:r>
        <w:rPr>
          <w:rFonts w:ascii="Arial" w:cs="Arial" w:eastAsia="Arial" w:hAnsi="Arial"/>
          <w:sz w:val="18"/>
          <w:szCs w:val="18"/>
          <w:color w:val="auto"/>
        </w:rPr>
        <w:t>Subject to Securities and Futures (Financial Resources) Rules of Securities &amp; Futures Ordinance, Futu Securities International (Hong Kong) Limited is required to maintain minimum paid-up share capital. Regulatory capital requirements could restrict the Operating Company from expanding their business and declaring dividends if their net capital does not meet regulatory requirements. Also, certain Operating Companies are subject to other regulatory restrictions and requirements. As of December 31, 2016 and 2017, aggregate excess regulatory capital for the Operating Company was HK$204,895 thousand and HK$588,673 thousand respectively. As of December 31, 2017, the regulated Operating Company was in compliance with their respective regulatory capital requirements.</w:t>
      </w:r>
    </w:p>
    <w:p>
      <w:pPr>
        <w:spacing w:after="0" w:line="333" w:lineRule="exact"/>
        <w:rPr>
          <w:sz w:val="20"/>
          <w:szCs w:val="20"/>
          <w:color w:val="auto"/>
        </w:rPr>
      </w:pPr>
    </w:p>
    <w:p>
      <w:pPr>
        <w:ind w:left="680" w:right="7080" w:hanging="444"/>
        <w:spacing w:after="0" w:line="375" w:lineRule="auto"/>
        <w:tabs>
          <w:tab w:leader="none" w:pos="672"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2" w:lineRule="exact"/>
        <w:rPr>
          <w:sz w:val="20"/>
          <w:szCs w:val="20"/>
          <w:color w:val="auto"/>
        </w:rPr>
      </w:pPr>
    </w:p>
    <w:p>
      <w:pPr>
        <w:ind w:left="240" w:firstLine="438"/>
        <w:spacing w:after="0" w:line="284" w:lineRule="auto"/>
        <w:rPr>
          <w:sz w:val="20"/>
          <w:szCs w:val="20"/>
          <w:color w:val="auto"/>
        </w:rPr>
      </w:pPr>
      <w:r>
        <w:rPr>
          <w:rFonts w:ascii="Arial" w:cs="Arial" w:eastAsia="Arial" w:hAnsi="Arial"/>
          <w:sz w:val="17"/>
          <w:szCs w:val="17"/>
          <w:color w:val="auto"/>
        </w:rPr>
        <w:t>The Group leases office space under non-cancelable operating lease agreements with initial lease term from two years to five years. Rental expense is recognized from the date of initial possession of the leased property on a straight-line basis over the term of the lease and charged to earnings. Certain lease agreements contain rent holidays, which are recognized on a straight-line basis over the lease term.</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80"/>
          </w:cols>
          <w:pgMar w:left="240" w:top="458"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6140" w:hanging="444"/>
        <w:spacing w:after="0" w:line="383" w:lineRule="auto"/>
        <w:tabs>
          <w:tab w:leader="none" w:pos="672"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(Continued) </w:t>
      </w:r>
      <w:r>
        <w:rPr>
          <w:rFonts w:ascii="Arial" w:cs="Arial" w:eastAsia="Arial" w:hAnsi="Arial"/>
          <w:sz w:val="18"/>
          <w:szCs w:val="18"/>
          <w:b w:val="1"/>
          <w:bCs w:val="1"/>
          <w:i w:val="1"/>
          <w:iCs w:val="1"/>
          <w:color w:val="auto"/>
        </w:rPr>
        <w:t>Operating Leases (Continued)</w:t>
      </w:r>
    </w:p>
    <w:p>
      <w:pPr>
        <w:spacing w:after="0" w:line="1" w:lineRule="exact"/>
        <w:rPr>
          <w:sz w:val="20"/>
          <w:szCs w:val="20"/>
          <w:color w:val="auto"/>
        </w:rPr>
      </w:pPr>
    </w:p>
    <w:p>
      <w:pPr>
        <w:ind w:left="240" w:right="420" w:firstLine="438"/>
        <w:spacing w:after="0" w:line="257" w:lineRule="auto"/>
        <w:rPr>
          <w:sz w:val="20"/>
          <w:szCs w:val="20"/>
          <w:color w:val="auto"/>
        </w:rPr>
      </w:pPr>
      <w:r>
        <w:rPr>
          <w:rFonts w:ascii="Arial" w:cs="Arial" w:eastAsia="Arial" w:hAnsi="Arial"/>
          <w:sz w:val="18"/>
          <w:szCs w:val="18"/>
          <w:color w:val="auto"/>
        </w:rPr>
        <w:t>Rental expense calculated for the Group was HK$6,645 thousand and HK$10,847 thousand for the year ended December 31, 2016 and 2017, respectively, and is included in research and development expenses, selling and marketing expense and general and administrative expenses in the consolidated statements of comprehensive loss. As of December 31, 2017, the Group’s minimum annual lease commitments totaled HK$23,645 thousand, as follows:</w:t>
      </w:r>
    </w:p>
    <w:p>
      <w:pPr>
        <w:spacing w:after="0" w:line="206" w:lineRule="exact"/>
        <w:rPr>
          <w:sz w:val="20"/>
          <w:szCs w:val="20"/>
          <w:color w:val="auto"/>
        </w:rPr>
      </w:pPr>
    </w:p>
    <w:tbl>
      <w:tblPr>
        <w:tblLayout w:type="fixed"/>
        <w:tblInd w:w="2000" w:type="dxa"/>
        <w:tblCellMar>
          <w:top w:w="0" w:type="dxa"/>
          <w:left w:w="0" w:type="dxa"/>
          <w:bottom w:w="0" w:type="dxa"/>
          <w:right w:w="0" w:type="dxa"/>
        </w:tblCellMar>
      </w:tblPr>
      <w:tr>
        <w:trPr>
          <w:trHeight w:val="170"/>
        </w:trPr>
        <w:tc>
          <w:tcPr>
            <w:tcW w:w="63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8"/>
              </w:rPr>
              <w:t>HK$ in thousand</w:t>
            </w:r>
          </w:p>
        </w:tc>
      </w:tr>
      <w:tr>
        <w:trPr>
          <w:trHeight w:val="215"/>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9,842</w:t>
            </w:r>
          </w:p>
        </w:tc>
        <w:tc>
          <w:tcPr>
            <w:tcW w:w="40" w:type="dxa"/>
            <w:vAlign w:val="bottom"/>
            <w:shd w:val="clear" w:color="auto" w:fill="CCEEFF"/>
          </w:tcPr>
          <w:p>
            <w:pPr>
              <w:spacing w:after="0"/>
              <w:rPr>
                <w:sz w:val="18"/>
                <w:szCs w:val="18"/>
                <w:color w:val="auto"/>
              </w:rPr>
            </w:pPr>
          </w:p>
        </w:tc>
      </w:tr>
      <w:tr>
        <w:trPr>
          <w:trHeight w:val="215"/>
        </w:trPr>
        <w:tc>
          <w:tcPr>
            <w:tcW w:w="6320" w:type="dxa"/>
            <w:vAlign w:val="bottom"/>
          </w:tcPr>
          <w:p>
            <w:pPr>
              <w:spacing w:after="0"/>
              <w:rPr>
                <w:sz w:val="20"/>
                <w:szCs w:val="20"/>
                <w:color w:val="auto"/>
              </w:rPr>
            </w:pPr>
            <w:r>
              <w:rPr>
                <w:rFonts w:ascii="Arial" w:cs="Arial" w:eastAsia="Arial" w:hAnsi="Arial"/>
                <w:sz w:val="18"/>
                <w:szCs w:val="18"/>
                <w:color w:val="auto"/>
              </w:rPr>
              <w:t>2019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7,704</w:t>
            </w:r>
          </w:p>
        </w:tc>
        <w:tc>
          <w:tcPr>
            <w:tcW w:w="40" w:type="dxa"/>
            <w:vAlign w:val="bottom"/>
          </w:tcPr>
          <w:p>
            <w:pPr>
              <w:spacing w:after="0"/>
              <w:rPr>
                <w:sz w:val="18"/>
                <w:szCs w:val="18"/>
                <w:color w:val="auto"/>
              </w:rPr>
            </w:pPr>
          </w:p>
        </w:tc>
      </w:tr>
      <w:tr>
        <w:trPr>
          <w:trHeight w:val="215"/>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6,099</w:t>
            </w:r>
          </w:p>
        </w:tc>
        <w:tc>
          <w:tcPr>
            <w:tcW w:w="40" w:type="dxa"/>
            <w:vAlign w:val="bottom"/>
            <w:shd w:val="clear" w:color="auto" w:fill="CCEEFF"/>
          </w:tcPr>
          <w:p>
            <w:pPr>
              <w:spacing w:after="0"/>
              <w:rPr>
                <w:sz w:val="18"/>
                <w:szCs w:val="18"/>
                <w:color w:val="auto"/>
              </w:rPr>
            </w:pPr>
          </w:p>
        </w:tc>
      </w:tr>
      <w:tr>
        <w:trPr>
          <w:trHeight w:val="222"/>
        </w:trPr>
        <w:tc>
          <w:tcPr>
            <w:tcW w:w="6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Hong Kong Securities and Futures Commission (“SFC”) Inquiries and Investigations</w:t>
      </w:r>
    </w:p>
    <w:p>
      <w:pPr>
        <w:spacing w:after="0" w:line="115" w:lineRule="exact"/>
        <w:rPr>
          <w:sz w:val="20"/>
          <w:szCs w:val="20"/>
          <w:color w:val="auto"/>
        </w:rPr>
      </w:pPr>
    </w:p>
    <w:p>
      <w:pPr>
        <w:ind w:left="240" w:right="40" w:firstLine="438"/>
        <w:spacing w:after="0" w:line="300" w:lineRule="auto"/>
        <w:rPr>
          <w:sz w:val="20"/>
          <w:szCs w:val="20"/>
          <w:color w:val="auto"/>
        </w:rPr>
      </w:pPr>
      <w:r>
        <w:rPr>
          <w:rFonts w:ascii="Arial" w:cs="Arial" w:eastAsia="Arial" w:hAnsi="Arial"/>
          <w:sz w:val="16"/>
          <w:szCs w:val="16"/>
          <w:color w:val="auto"/>
        </w:rPr>
        <w:t>The financial services industry is highly regulated. From time to time, the Operating Company as a HK SFC-licensed corporation may be required to assist in and/or are subject to inquiries and/or investigations by relevant regulatory authorities in Hong Kong, such as the HK SFC. As of the date of this report, the Operating Company is involved in ongoing regulatory inquiries and investigations by the HK SFC where a certain conclusion has not been reached. For the years ended 31 December 2016 and 2017, the Group did not make any accrual for the aforementioned loss contingency.</w:t>
      </w:r>
    </w:p>
    <w:p>
      <w:pPr>
        <w:spacing w:after="0" w:line="298" w:lineRule="exact"/>
        <w:rPr>
          <w:sz w:val="20"/>
          <w:szCs w:val="20"/>
          <w:color w:val="auto"/>
        </w:rPr>
      </w:pPr>
    </w:p>
    <w:p>
      <w:pPr>
        <w:ind w:left="660" w:hanging="424"/>
        <w:spacing w:after="0"/>
        <w:tabs>
          <w:tab w:leader="none" w:pos="6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BALANCES AND TRANSACTIONS</w:t>
      </w:r>
    </w:p>
    <w:p>
      <w:pPr>
        <w:spacing w:after="0" w:line="11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The table below sets forth major related parties of the Group and their relationships with the Group:</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5800" w:type="dxa"/>
            <w:vAlign w:val="bottom"/>
            <w:gridSpan w:val="2"/>
          </w:tcPr>
          <w:p>
            <w:pPr>
              <w:spacing w:after="0"/>
              <w:rPr>
                <w:sz w:val="20"/>
                <w:szCs w:val="20"/>
                <w:color w:val="auto"/>
              </w:rPr>
            </w:pPr>
            <w:r>
              <w:rPr>
                <w:rFonts w:ascii="Arial" w:cs="Arial" w:eastAsia="Arial" w:hAnsi="Arial"/>
                <w:sz w:val="14"/>
                <w:szCs w:val="14"/>
                <w:color w:val="auto"/>
              </w:rPr>
              <w:t>Entity of individual name</w:t>
            </w:r>
          </w:p>
        </w:tc>
        <w:tc>
          <w:tcPr>
            <w:tcW w:w="5180" w:type="dxa"/>
            <w:vAlign w:val="bottom"/>
            <w:gridSpan w:val="2"/>
          </w:tcPr>
          <w:p>
            <w:pPr>
              <w:ind w:left="1760"/>
              <w:spacing w:after="0"/>
              <w:rPr>
                <w:sz w:val="20"/>
                <w:szCs w:val="20"/>
                <w:color w:val="auto"/>
              </w:rPr>
            </w:pPr>
            <w:r>
              <w:rPr>
                <w:rFonts w:ascii="Arial" w:cs="Arial" w:eastAsia="Arial" w:hAnsi="Arial"/>
                <w:sz w:val="14"/>
                <w:szCs w:val="14"/>
                <w:color w:val="auto"/>
              </w:rPr>
              <w:t>Relationship with the Group</w:t>
            </w:r>
          </w:p>
        </w:tc>
      </w:tr>
      <w:tr>
        <w:trPr>
          <w:trHeight w:val="187"/>
        </w:trPr>
        <w:tc>
          <w:tcPr>
            <w:tcW w:w="148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rPr>
              <w:t>Mr. Leaf Hua Li</w:t>
            </w:r>
          </w:p>
        </w:tc>
        <w:tc>
          <w:tcPr>
            <w:tcW w:w="4320" w:type="dxa"/>
            <w:vAlign w:val="bottom"/>
          </w:tcPr>
          <w:p>
            <w:pPr>
              <w:spacing w:after="0"/>
              <w:rPr>
                <w:sz w:val="16"/>
                <w:szCs w:val="16"/>
                <w:color w:val="auto"/>
              </w:rPr>
            </w:pPr>
          </w:p>
        </w:tc>
        <w:tc>
          <w:tcPr>
            <w:tcW w:w="516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8"/>
                <w:szCs w:val="18"/>
                <w:color w:val="auto"/>
              </w:rPr>
              <w:t>Principal shareholder</w:t>
            </w:r>
          </w:p>
        </w:tc>
        <w:tc>
          <w:tcPr>
            <w:tcW w:w="20" w:type="dxa"/>
            <w:vAlign w:val="bottom"/>
          </w:tcPr>
          <w:p>
            <w:pPr>
              <w:spacing w:after="0"/>
              <w:rPr>
                <w:sz w:val="16"/>
                <w:szCs w:val="16"/>
                <w:color w:val="auto"/>
              </w:rPr>
            </w:pPr>
          </w:p>
        </w:tc>
      </w:tr>
      <w:tr>
        <w:trPr>
          <w:trHeight w:val="215"/>
        </w:trPr>
        <w:tc>
          <w:tcPr>
            <w:tcW w:w="5800" w:type="dxa"/>
            <w:vAlign w:val="bottom"/>
            <w:gridSpan w:val="2"/>
          </w:tcPr>
          <w:p>
            <w:pPr>
              <w:spacing w:after="0"/>
              <w:rPr>
                <w:sz w:val="20"/>
                <w:szCs w:val="20"/>
                <w:color w:val="auto"/>
              </w:rPr>
            </w:pPr>
            <w:r>
              <w:rPr>
                <w:rFonts w:ascii="Arial" w:cs="Arial" w:eastAsia="Arial" w:hAnsi="Arial"/>
                <w:sz w:val="18"/>
                <w:szCs w:val="18"/>
                <w:color w:val="auto"/>
              </w:rPr>
              <w:t>Tencent Holdings Limited and its subsidiaries(“Tencent Group”)</w:t>
            </w:r>
          </w:p>
        </w:tc>
        <w:tc>
          <w:tcPr>
            <w:tcW w:w="5180" w:type="dxa"/>
            <w:vAlign w:val="bottom"/>
            <w:gridSpan w:val="2"/>
          </w:tcPr>
          <w:p>
            <w:pPr>
              <w:jc w:val="right"/>
              <w:ind w:right="20"/>
              <w:spacing w:after="0"/>
              <w:rPr>
                <w:sz w:val="20"/>
                <w:szCs w:val="20"/>
                <w:color w:val="auto"/>
              </w:rPr>
            </w:pPr>
            <w:r>
              <w:rPr>
                <w:rFonts w:ascii="Arial" w:cs="Arial" w:eastAsia="Arial" w:hAnsi="Arial"/>
                <w:sz w:val="18"/>
                <w:szCs w:val="18"/>
                <w:color w:val="auto"/>
              </w:rPr>
              <w:t>Principal shareholder</w:t>
            </w:r>
          </w:p>
        </w:tc>
      </w:tr>
      <w:tr>
        <w:trPr>
          <w:trHeight w:val="229"/>
        </w:trPr>
        <w:tc>
          <w:tcPr>
            <w:tcW w:w="5800" w:type="dxa"/>
            <w:vAlign w:val="bottom"/>
            <w:gridSpan w:val="2"/>
          </w:tcPr>
          <w:p>
            <w:pPr>
              <w:spacing w:after="0"/>
              <w:rPr>
                <w:sz w:val="20"/>
                <w:szCs w:val="20"/>
                <w:color w:val="auto"/>
              </w:rPr>
            </w:pPr>
            <w:r>
              <w:rPr>
                <w:rFonts w:ascii="Arial" w:cs="Arial" w:eastAsia="Arial" w:hAnsi="Arial"/>
                <w:sz w:val="18"/>
                <w:szCs w:val="18"/>
                <w:color w:val="auto"/>
              </w:rPr>
              <w:t>Individual director</w:t>
            </w:r>
          </w:p>
        </w:tc>
        <w:tc>
          <w:tcPr>
            <w:tcW w:w="5180" w:type="dxa"/>
            <w:vAlign w:val="bottom"/>
            <w:gridSpan w:val="2"/>
          </w:tcPr>
          <w:p>
            <w:pPr>
              <w:jc w:val="right"/>
              <w:ind w:right="20"/>
              <w:spacing w:after="0"/>
              <w:rPr>
                <w:sz w:val="20"/>
                <w:szCs w:val="20"/>
                <w:color w:val="auto"/>
              </w:rPr>
            </w:pPr>
            <w:r>
              <w:rPr>
                <w:rFonts w:ascii="Arial" w:cs="Arial" w:eastAsia="Arial" w:hAnsi="Arial"/>
                <w:sz w:val="18"/>
                <w:szCs w:val="18"/>
                <w:color w:val="auto"/>
              </w:rPr>
              <w:t>Directors or officers of the Group</w:t>
            </w:r>
          </w:p>
        </w:tc>
      </w:tr>
    </w:tbl>
    <w:p>
      <w:pPr>
        <w:spacing w:after="0" w:line="200" w:lineRule="exact"/>
        <w:rPr>
          <w:sz w:val="20"/>
          <w:szCs w:val="20"/>
          <w:color w:val="auto"/>
        </w:rPr>
      </w:pPr>
    </w:p>
    <w:p>
      <w:pPr>
        <w:jc w:val="both"/>
        <w:ind w:left="240" w:right="140" w:firstLine="438"/>
        <w:spacing w:after="0" w:line="300" w:lineRule="auto"/>
        <w:rPr>
          <w:sz w:val="20"/>
          <w:szCs w:val="20"/>
          <w:color w:val="auto"/>
        </w:rPr>
      </w:pPr>
      <w:r>
        <w:rPr>
          <w:rFonts w:ascii="Arial" w:cs="Arial" w:eastAsia="Arial" w:hAnsi="Arial"/>
          <w:sz w:val="16"/>
          <w:szCs w:val="16"/>
          <w:color w:val="auto"/>
        </w:rPr>
        <w:t>The Group utilizes the cloud services provided by Tencent Group to process large amount of complicated data in-house, which reduces the risks involved in data storage and transmission. SMS channel services is provided by Tencent Group, including verification code, notification and marketing message services for the Group to reach its end users. The Group also uses the QQ Wallet and Wechat Wallet platform provided by Tencent Group for cash receipt and payment purpose during daily operation. The Group can withdraw cash balance from the QQ Wallet and Wechat Wallet on demand.</w:t>
      </w:r>
    </w:p>
    <w:p>
      <w:pPr>
        <w:spacing w:after="0" w:line="302" w:lineRule="exact"/>
        <w:rPr>
          <w:sz w:val="20"/>
          <w:szCs w:val="20"/>
          <w:color w:val="auto"/>
        </w:rPr>
      </w:pPr>
    </w:p>
    <w:p>
      <w:pPr>
        <w:ind w:left="660" w:hanging="424"/>
        <w:spacing w:after="0"/>
        <w:tabs>
          <w:tab w:leader="none" w:pos="660" w:val="left"/>
        </w:tabs>
        <w:numPr>
          <w:ilvl w:val="0"/>
          <w:numId w:val="2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w:t>
      </w:r>
    </w:p>
    <w:p>
      <w:pPr>
        <w:spacing w:after="0" w:line="120"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5715</wp:posOffset>
            </wp:positionV>
            <wp:extent cx="118491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8060"/>
        <w:spacing w:after="0"/>
        <w:tabs>
          <w:tab w:leader="none" w:pos="94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-3810</wp:posOffset>
            </wp:positionV>
            <wp:extent cx="118491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8280"/>
        <w:spacing w:after="0" w:line="230" w:lineRule="auto"/>
        <w:rPr>
          <w:sz w:val="20"/>
          <w:szCs w:val="20"/>
          <w:color w:val="auto"/>
        </w:rPr>
      </w:pPr>
      <w:r>
        <w:rPr>
          <w:rFonts w:ascii="Arial" w:cs="Arial" w:eastAsia="Arial" w:hAnsi="Arial"/>
          <w:sz w:val="14"/>
          <w:szCs w:val="14"/>
          <w:b w:val="1"/>
          <w:bCs w:val="1"/>
          <w:color w:val="auto"/>
        </w:rPr>
        <w:t>(HK$ in thousands)</w:t>
      </w:r>
    </w:p>
    <w:p>
      <w:pPr>
        <w:spacing w:after="0" w:line="8"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r>
      <w:tr>
        <w:trPr>
          <w:trHeight w:val="20"/>
        </w:trPr>
        <w:tc>
          <w:tcPr>
            <w:tcW w:w="6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00"/>
          </w:cols>
          <w:pgMar w:left="240" w:top="457"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BALANCES AND TRANSACTIONS (Continued)</w:t>
      </w:r>
    </w:p>
    <w:p>
      <w:pPr>
        <w:spacing w:after="0" w:line="133" w:lineRule="exact"/>
        <w:rPr>
          <w:sz w:val="20"/>
          <w:szCs w:val="20"/>
          <w:color w:val="auto"/>
        </w:rPr>
      </w:pPr>
    </w:p>
    <w:p>
      <w:pPr>
        <w:ind w:left="660" w:hanging="424"/>
        <w:spacing w:after="0"/>
        <w:tabs>
          <w:tab w:leader="none" w:pos="660" w:val="left"/>
        </w:tabs>
        <w:numPr>
          <w:ilvl w:val="0"/>
          <w:numId w:val="2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Amounts Due from Related Parties</w:t>
      </w:r>
    </w:p>
    <w:p>
      <w:pPr>
        <w:spacing w:after="0" w:line="120"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5715</wp:posOffset>
            </wp:positionV>
            <wp:extent cx="11252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8200"/>
        <w:spacing w:after="0"/>
        <w:tabs>
          <w:tab w:leader="none" w:pos="93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-3810</wp:posOffset>
            </wp:positionV>
            <wp:extent cx="11252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8340"/>
        <w:spacing w:after="0" w:line="230" w:lineRule="auto"/>
        <w:rPr>
          <w:sz w:val="20"/>
          <w:szCs w:val="20"/>
          <w:color w:val="auto"/>
        </w:rPr>
      </w:pPr>
      <w:r>
        <w:rPr>
          <w:rFonts w:ascii="Arial" w:cs="Arial" w:eastAsia="Arial" w:hAnsi="Arial"/>
          <w:sz w:val="14"/>
          <w:szCs w:val="14"/>
          <w:b w:val="1"/>
          <w:bCs w:val="1"/>
          <w:color w:val="auto"/>
        </w:rPr>
        <w:t>(HK$ in thousands)</w:t>
      </w:r>
    </w:p>
    <w:p>
      <w:pPr>
        <w:spacing w:after="0" w:line="8"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Mr. Leaf Hua Li</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r>
      <w:tr>
        <w:trPr>
          <w:trHeight w:val="215"/>
        </w:trPr>
        <w:tc>
          <w:tcPr>
            <w:tcW w:w="6500" w:type="dxa"/>
            <w:vAlign w:val="bottom"/>
          </w:tcPr>
          <w:p>
            <w:pPr>
              <w:spacing w:after="0"/>
              <w:rPr>
                <w:sz w:val="20"/>
                <w:szCs w:val="20"/>
                <w:color w:val="auto"/>
              </w:rPr>
            </w:pPr>
            <w:r>
              <w:rPr>
                <w:rFonts w:ascii="Arial" w:cs="Arial" w:eastAsia="Arial" w:hAnsi="Arial"/>
                <w:sz w:val="18"/>
                <w:szCs w:val="18"/>
                <w:color w:val="auto"/>
              </w:rPr>
              <w:t>Advance to individual directors and officers</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894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6,340</w:t>
            </w:r>
          </w:p>
        </w:tc>
      </w:tr>
      <w:tr>
        <w:trPr>
          <w:trHeight w:val="27"/>
        </w:trPr>
        <w:tc>
          <w:tcPr>
            <w:tcW w:w="6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6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6,541</w:t>
            </w:r>
          </w:p>
        </w:tc>
      </w:tr>
      <w:tr>
        <w:trPr>
          <w:trHeight w:val="20"/>
        </w:trPr>
        <w:tc>
          <w:tcPr>
            <w:tcW w:w="6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color w:val="auto"/>
        </w:rPr>
        <w:t>The amount due from Mr. Leaf Hua Li is cash advance for business purpose. This advance does not bear any interest and with no fixed maturity. The advances to individual directors and offices are advances granted to Mr. Nineway Jie Zhang, Director of the Company, and Mr. Robin Li Xu, Vice President of the Company, bearing interest rate of 4% with maturity from three months to six months. Such advances do not involve more than the normal risk of collectability or present other unfavorable features.</w:t>
      </w:r>
    </w:p>
    <w:p>
      <w:pPr>
        <w:spacing w:after="0" w:line="335" w:lineRule="exact"/>
        <w:rPr>
          <w:sz w:val="20"/>
          <w:szCs w:val="20"/>
          <w:color w:val="auto"/>
        </w:rPr>
      </w:pPr>
    </w:p>
    <w:p>
      <w:pPr>
        <w:ind w:left="240"/>
        <w:spacing w:after="0"/>
        <w:tabs>
          <w:tab w:leader="none" w:pos="640" w:val="left"/>
        </w:tabs>
        <w:rPr>
          <w:sz w:val="20"/>
          <w:szCs w:val="20"/>
          <w:color w:val="auto"/>
        </w:rPr>
      </w:pPr>
      <w:r>
        <w:rPr>
          <w:rFonts w:ascii="Arial" w:cs="Arial" w:eastAsia="Arial" w:hAnsi="Arial"/>
          <w:sz w:val="18"/>
          <w:szCs w:val="18"/>
          <w:b w:val="1"/>
          <w:bCs w:val="1"/>
          <w:i w:val="1"/>
          <w:iCs w:val="1"/>
          <w:color w:val="auto"/>
        </w:rPr>
        <w:t>(c)</w:t>
        <w:tab/>
        <w:t>Short-term borrowings</w:t>
      </w:r>
    </w:p>
    <w:p>
      <w:pPr>
        <w:spacing w:after="0" w:line="120"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9"/>
          </w:tcPr>
          <w:p>
            <w:pPr>
              <w:ind w:left="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06"/>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11"/>
              <w:spacing w:after="0" w:line="141"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7"/>
          </w:tcPr>
          <w:p>
            <w:pPr>
              <w:ind w:left="20"/>
              <w:spacing w:after="0" w:line="141" w:lineRule="exact"/>
              <w:rPr>
                <w:sz w:val="20"/>
                <w:szCs w:val="20"/>
                <w:color w:val="auto"/>
              </w:rPr>
            </w:pPr>
            <w:r>
              <w:rPr>
                <w:rFonts w:ascii="Arial" w:cs="Arial" w:eastAsia="Arial" w:hAnsi="Arial"/>
                <w:sz w:val="14"/>
                <w:szCs w:val="14"/>
                <w:b w:val="1"/>
                <w:bCs w:val="1"/>
                <w:color w:val="auto"/>
              </w:rPr>
              <w:t>(HK$ 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368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161,179</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5"/>
        </w:trPr>
        <w:tc>
          <w:tcPr>
            <w:tcW w:w="5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Amounts Due to Related Parties</w:t>
            </w:r>
          </w:p>
        </w:tc>
        <w:tc>
          <w:tcPr>
            <w:tcW w:w="2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3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gridSpan w:val="9"/>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860" w:type="dxa"/>
            <w:vAlign w:val="bottom"/>
            <w:gridSpan w:val="2"/>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86"/>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31"/>
              <w:spacing w:after="0" w:line="141"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8"/>
          </w:tcPr>
          <w:p>
            <w:pPr>
              <w:ind w:left="60"/>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Cloud services from Tencent Group</w:t>
            </w:r>
          </w:p>
        </w:tc>
        <w:tc>
          <w:tcPr>
            <w:tcW w:w="3460" w:type="dxa"/>
            <w:vAlign w:val="bottom"/>
            <w:gridSpan w:val="5"/>
          </w:tcPr>
          <w:p>
            <w:pPr>
              <w:jc w:val="right"/>
              <w:ind w:right="20"/>
              <w:spacing w:after="0"/>
              <w:rPr>
                <w:sz w:val="20"/>
                <w:szCs w:val="20"/>
                <w:color w:val="auto"/>
              </w:rPr>
            </w:pPr>
            <w:r>
              <w:rPr>
                <w:rFonts w:ascii="Arial" w:cs="Arial" w:eastAsia="Arial" w:hAnsi="Arial"/>
                <w:sz w:val="18"/>
                <w:szCs w:val="18"/>
                <w:color w:val="auto"/>
              </w:rPr>
              <w:t>5,950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auto"/>
              </w:rPr>
              <w:t>14,269</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SMS channel services from Tencent Group</w:t>
            </w:r>
          </w:p>
        </w:tc>
        <w:tc>
          <w:tcPr>
            <w:tcW w:w="34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86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6,479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(e)   Convertible Notes</w:t>
            </w: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5020" w:type="dxa"/>
            <w:vAlign w:val="bottom"/>
            <w:gridSpan w:val="2"/>
            <w:vMerge w:val="continue"/>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9"/>
          </w:tcPr>
          <w:p>
            <w:pPr>
              <w:ind w:left="1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040" w:type="dxa"/>
            <w:vAlign w:val="bottom"/>
            <w:gridSpan w:val="3"/>
          </w:tcPr>
          <w:p>
            <w:pPr>
              <w:spacing w:after="0"/>
              <w:rPr>
                <w:sz w:val="12"/>
                <w:szCs w:val="12"/>
                <w:color w:val="auto"/>
              </w:rPr>
            </w:pPr>
          </w:p>
        </w:tc>
        <w:tc>
          <w:tcPr>
            <w:tcW w:w="640" w:type="dxa"/>
            <w:vAlign w:val="bottom"/>
            <w:tcBorders>
              <w:top w:val="single" w:sz="8" w:color="auto"/>
              <w:bottom w:val="single" w:sz="8" w:color="auto"/>
            </w:tcBorders>
            <w:gridSpan w:val="3"/>
          </w:tcPr>
          <w:p>
            <w:pPr>
              <w:ind w:left="180"/>
              <w:spacing w:after="0" w:line="141"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spacing w:after="0" w:line="141"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8"/>
          </w:tcPr>
          <w:p>
            <w:pPr>
              <w:ind w:left="160"/>
              <w:spacing w:after="0" w:line="141" w:lineRule="exact"/>
              <w:rPr>
                <w:sz w:val="20"/>
                <w:szCs w:val="20"/>
                <w:color w:val="auto"/>
              </w:rPr>
            </w:pPr>
            <w:r>
              <w:rPr>
                <w:rFonts w:ascii="Arial" w:cs="Arial" w:eastAsia="Arial" w:hAnsi="Arial"/>
                <w:sz w:val="14"/>
                <w:szCs w:val="14"/>
                <w:b w:val="1"/>
                <w:bCs w:val="1"/>
                <w:color w:val="auto"/>
              </w:rPr>
              <w:t>(HK$ 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3040" w:type="dxa"/>
            <w:vAlign w:val="bottom"/>
            <w:gridSpan w:val="3"/>
            <w:shd w:val="clear" w:color="auto" w:fill="CCEEFF"/>
          </w:tcPr>
          <w:p>
            <w:pPr>
              <w:spacing w:after="0"/>
              <w:rPr>
                <w:sz w:val="18"/>
                <w:szCs w:val="18"/>
                <w:color w:val="auto"/>
              </w:rPr>
            </w:pPr>
          </w:p>
        </w:tc>
        <w:tc>
          <w:tcPr>
            <w:tcW w:w="8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32,030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0"/>
        </w:trPr>
        <w:tc>
          <w:tcPr>
            <w:tcW w:w="13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40" w:type="dxa"/>
            <w:vAlign w:val="bottom"/>
            <w:gridSpan w:val="3"/>
          </w:tcPr>
          <w:p>
            <w:pPr>
              <w:ind w:left="280"/>
              <w:spacing w:after="0"/>
              <w:rPr>
                <w:sz w:val="20"/>
                <w:szCs w:val="20"/>
                <w:color w:val="auto"/>
              </w:rPr>
            </w:pPr>
            <w:r>
              <w:rPr>
                <w:rFonts w:ascii="Arial" w:cs="Arial" w:eastAsia="Arial" w:hAnsi="Arial"/>
                <w:sz w:val="18"/>
                <w:szCs w:val="18"/>
                <w:color w:val="auto"/>
              </w:rPr>
              <w:t>F-51</w:t>
            </w:r>
          </w:p>
        </w:tc>
        <w:tc>
          <w:tcPr>
            <w:tcW w:w="640" w:type="dxa"/>
            <w:vAlign w:val="bottom"/>
            <w:tcBorders>
              <w:top w:val="single" w:sz="8" w:color="auto"/>
            </w:tcBorders>
            <w:gridSpan w:val="3"/>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7" w:right="6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BALANCES AND TRANSACTIONS (Continued)</w:t>
      </w:r>
    </w:p>
    <w:p>
      <w:pPr>
        <w:spacing w:after="0" w:line="133" w:lineRule="exact"/>
        <w:rPr>
          <w:sz w:val="20"/>
          <w:szCs w:val="20"/>
          <w:color w:val="auto"/>
        </w:rPr>
      </w:pPr>
    </w:p>
    <w:p>
      <w:pPr>
        <w:ind w:left="660" w:hanging="424"/>
        <w:spacing w:after="0"/>
        <w:tabs>
          <w:tab w:leader="none" w:pos="660" w:val="left"/>
        </w:tabs>
        <w:numPr>
          <w:ilvl w:val="0"/>
          <w:numId w:val="2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Transactions with Related Parties</w:t>
      </w:r>
    </w:p>
    <w:p>
      <w:pPr>
        <w:spacing w:after="0" w:line="241"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As of December 31,</w:t>
            </w:r>
          </w:p>
        </w:tc>
      </w:tr>
      <w:tr>
        <w:trPr>
          <w:trHeight w:val="141"/>
        </w:trPr>
        <w:tc>
          <w:tcPr>
            <w:tcW w:w="68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4"/>
              <w:spacing w:after="0" w:line="141"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41"/>
        </w:trPr>
        <w:tc>
          <w:tcPr>
            <w:tcW w:w="6800" w:type="dxa"/>
            <w:vAlign w:val="bottom"/>
          </w:tcPr>
          <w:p>
            <w:pPr>
              <w:spacing w:after="0"/>
              <w:rPr>
                <w:sz w:val="12"/>
                <w:szCs w:val="12"/>
                <w:color w:val="auto"/>
              </w:rPr>
            </w:pPr>
          </w:p>
        </w:tc>
        <w:tc>
          <w:tcPr>
            <w:tcW w:w="1440" w:type="dxa"/>
            <w:vAlign w:val="bottom"/>
            <w:gridSpan w:val="4"/>
          </w:tcPr>
          <w:p>
            <w:pPr>
              <w:jc w:val="right"/>
              <w:ind w:right="34"/>
              <w:spacing w:after="0" w:line="141" w:lineRule="exact"/>
              <w:rPr>
                <w:sz w:val="20"/>
                <w:szCs w:val="20"/>
                <w:color w:val="auto"/>
              </w:rPr>
            </w:pPr>
            <w:r>
              <w:rPr>
                <w:rFonts w:ascii="Arial" w:cs="Arial" w:eastAsia="Arial" w:hAnsi="Arial"/>
                <w:sz w:val="14"/>
                <w:szCs w:val="14"/>
                <w:b w:val="1"/>
                <w:bCs w:val="1"/>
                <w:color w:val="auto"/>
              </w:rPr>
              <w:t>(HK$ in thousands)</w:t>
            </w:r>
          </w:p>
        </w:tc>
        <w:tc>
          <w:tcPr>
            <w:tcW w:w="80" w:type="dxa"/>
            <w:vAlign w:val="bottom"/>
          </w:tcPr>
          <w:p>
            <w:pPr>
              <w:spacing w:after="0"/>
              <w:rPr>
                <w:sz w:val="12"/>
                <w:szCs w:val="12"/>
                <w:color w:val="auto"/>
              </w:rPr>
            </w:pPr>
          </w:p>
        </w:tc>
      </w:tr>
      <w:tr>
        <w:trPr>
          <w:trHeight w:val="215"/>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Cloud service fee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4,353</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7,636</w:t>
            </w:r>
          </w:p>
        </w:tc>
      </w:tr>
      <w:tr>
        <w:trPr>
          <w:trHeight w:val="215"/>
        </w:trPr>
        <w:tc>
          <w:tcPr>
            <w:tcW w:w="6800" w:type="dxa"/>
            <w:vAlign w:val="bottom"/>
          </w:tcPr>
          <w:p>
            <w:pPr>
              <w:spacing w:after="0"/>
              <w:rPr>
                <w:sz w:val="20"/>
                <w:szCs w:val="20"/>
                <w:color w:val="auto"/>
              </w:rPr>
            </w:pPr>
            <w:r>
              <w:rPr>
                <w:rFonts w:ascii="Arial" w:cs="Arial" w:eastAsia="Arial" w:hAnsi="Arial"/>
                <w:sz w:val="18"/>
                <w:szCs w:val="18"/>
                <w:color w:val="auto"/>
              </w:rPr>
              <w:t>SMS channel service fee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1,245</w:t>
            </w:r>
          </w:p>
        </w:tc>
        <w:tc>
          <w:tcPr>
            <w:tcW w:w="3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1,148</w:t>
            </w:r>
          </w:p>
        </w:tc>
      </w:tr>
      <w:tr>
        <w:trPr>
          <w:trHeight w:val="215"/>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3,430</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3,457</w:t>
            </w: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Total transaction with related parties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9,028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12,241</w:t>
            </w: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0" w:right="120" w:firstLine="438"/>
        <w:spacing w:after="0" w:line="288" w:lineRule="auto"/>
        <w:rPr>
          <w:sz w:val="20"/>
          <w:szCs w:val="20"/>
          <w:color w:val="auto"/>
        </w:rPr>
      </w:pPr>
      <w:r>
        <w:rPr>
          <w:rFonts w:ascii="Arial" w:cs="Arial" w:eastAsia="Arial" w:hAnsi="Arial"/>
          <w:sz w:val="16"/>
          <w:szCs w:val="16"/>
          <w:color w:val="auto"/>
        </w:rPr>
        <w:t>Included in receivables from and payables to clients in the consolidated balance sheets as of December 31, 2016 and 2017 were accounts receivable from directors and officers of HK$2 thousand and HK$1 thousand and payables of HK$310,163 thousand and HK$234,124 thousand, respectively. The Operating Company also extends credit to these related parties in connection with margin loans, as of December 31, 2016 and 2017, the margin loans lent to directors and officers amount to HK$123 thousand and HK$20,101 thousand, respectively. Such loans are (i) made in the ordinary course of business, (ii) are made on substantially the same terms, including interest rates and collateral, as those prevailing at the time for comparable loans with persons not related to the company, and (iii) do not involve more than the normal risk of collectability or present other unfavorable features. Revenue earned by providing brokerage services and margin loan to directors and officers amounts to HK$3,314 thousand and HK$3,040 thousand for the years ended December 31, 2016 and 2017, respectively.</w:t>
      </w:r>
    </w:p>
    <w:p>
      <w:pPr>
        <w:spacing w:after="0" w:line="311" w:lineRule="exact"/>
        <w:rPr>
          <w:sz w:val="20"/>
          <w:szCs w:val="20"/>
          <w:color w:val="auto"/>
        </w:rPr>
      </w:pPr>
    </w:p>
    <w:p>
      <w:pPr>
        <w:ind w:left="660" w:hanging="424"/>
        <w:spacing w:after="0"/>
        <w:tabs>
          <w:tab w:leader="none" w:pos="6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19" w:lineRule="exact"/>
        <w:rPr>
          <w:sz w:val="20"/>
          <w:szCs w:val="20"/>
          <w:color w:val="auto"/>
        </w:rPr>
      </w:pPr>
    </w:p>
    <w:p>
      <w:pPr>
        <w:ind w:left="240" w:firstLine="438"/>
        <w:spacing w:after="0" w:line="275" w:lineRule="auto"/>
        <w:rPr>
          <w:sz w:val="20"/>
          <w:szCs w:val="20"/>
          <w:color w:val="auto"/>
        </w:rPr>
      </w:pPr>
      <w:r>
        <w:rPr>
          <w:rFonts w:ascii="Arial" w:cs="Arial" w:eastAsia="Arial" w:hAnsi="Arial"/>
          <w:sz w:val="18"/>
          <w:szCs w:val="18"/>
          <w:color w:val="auto"/>
        </w:rPr>
        <w:t>The Group evaluated event subsequent to the balance sheet date of December 31, 2017 through October 19, 2018, the date on which the financial statements are issued.</w:t>
      </w:r>
    </w:p>
    <w:p>
      <w:pPr>
        <w:spacing w:after="0" w:line="314" w:lineRule="exact"/>
        <w:rPr>
          <w:sz w:val="20"/>
          <w:szCs w:val="20"/>
          <w:color w:val="auto"/>
        </w:rPr>
      </w:pPr>
    </w:p>
    <w:p>
      <w:pPr>
        <w:ind w:left="660" w:hanging="424"/>
        <w:spacing w:after="0"/>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INFORMATION</w:t>
      </w:r>
    </w:p>
    <w:p>
      <w:pPr>
        <w:spacing w:after="0" w:line="119" w:lineRule="exact"/>
        <w:rPr>
          <w:sz w:val="20"/>
          <w:szCs w:val="20"/>
          <w:color w:val="auto"/>
        </w:rPr>
      </w:pPr>
    </w:p>
    <w:p>
      <w:pPr>
        <w:ind w:left="240" w:right="760" w:firstLine="438"/>
        <w:spacing w:after="0" w:line="275" w:lineRule="auto"/>
        <w:rPr>
          <w:sz w:val="20"/>
          <w:szCs w:val="20"/>
          <w:color w:val="auto"/>
        </w:rPr>
      </w:pPr>
      <w:r>
        <w:rPr>
          <w:rFonts w:ascii="Arial" w:cs="Arial" w:eastAsia="Arial" w:hAnsi="Arial"/>
          <w:sz w:val="18"/>
          <w:szCs w:val="18"/>
          <w:color w:val="auto"/>
        </w:rPr>
        <w:t>Pursuant to the Company’s memorandum and articles of association, the Company’s Preferred Shares and the convertible notes will be automatically converted into ordinary shares upon a QIPO.</w:t>
      </w:r>
    </w:p>
    <w:p>
      <w:pPr>
        <w:spacing w:after="0" w:line="170" w:lineRule="exact"/>
        <w:rPr>
          <w:sz w:val="20"/>
          <w:szCs w:val="20"/>
          <w:color w:val="auto"/>
        </w:rPr>
      </w:pPr>
    </w:p>
    <w:p>
      <w:pPr>
        <w:ind w:left="240" w:right="420" w:firstLine="438"/>
        <w:spacing w:after="0" w:line="275" w:lineRule="auto"/>
        <w:rPr>
          <w:sz w:val="20"/>
          <w:szCs w:val="20"/>
          <w:color w:val="auto"/>
        </w:rPr>
      </w:pPr>
      <w:r>
        <w:rPr>
          <w:rFonts w:ascii="Arial" w:cs="Arial" w:eastAsia="Arial" w:hAnsi="Arial"/>
          <w:sz w:val="18"/>
          <w:szCs w:val="18"/>
          <w:color w:val="auto"/>
        </w:rPr>
        <w:t>Unaudited pro forma shareholders’ equity as of December 31, 2017, as adjusted for the reclassification of the related Preferred Shares from mezzanine equity to shareholders’ equity is shown in the unaudited pro forma consolidated balance sheets.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80"/>
          </w:cols>
          <w:pgMar w:left="240" w:top="457" w:right="5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INFORMATION (Continued)</w:t>
      </w:r>
    </w:p>
    <w:p>
      <w:pPr>
        <w:spacing w:after="0" w:line="133" w:lineRule="exact"/>
        <w:rPr>
          <w:sz w:val="20"/>
          <w:szCs w:val="20"/>
          <w:color w:val="auto"/>
        </w:rPr>
      </w:pPr>
    </w:p>
    <w:p>
      <w:pPr>
        <w:ind w:left="240" w:right="60" w:firstLine="438"/>
        <w:spacing w:after="0" w:line="275" w:lineRule="auto"/>
        <w:rPr>
          <w:sz w:val="20"/>
          <w:szCs w:val="20"/>
          <w:color w:val="auto"/>
        </w:rPr>
      </w:pPr>
      <w:r>
        <w:rPr>
          <w:rFonts w:ascii="Arial" w:cs="Arial" w:eastAsia="Arial" w:hAnsi="Arial"/>
          <w:sz w:val="18"/>
          <w:szCs w:val="18"/>
          <w:color w:val="auto"/>
        </w:rPr>
        <w:t>Unaudited pro forma basic and diluted net loss per ordinary share reflects the effect of the conversion of Preferred Shares and convertible notes as follows, as if the conversion occurred as of the beginning of the period or the original date of issuance, if later.</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17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17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2"/>
              </w:rPr>
              <w:t>(HK$ in thousands, except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Net loss attributable to ordinary shareholders</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(56,542)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redemption value accretion reversed</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Interest expenses and amortized issuance cost of convertible notes reversed</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Numerator for pro forma basic and diluted net loss per share</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22"/>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used in calculating pro forma basic and diluted net loss per share</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727,185,523</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color w:val="auto"/>
              </w:rPr>
              <w:t>Pro forma basic and diluted net loss per share</w:t>
            </w: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20" w:type="dxa"/>
            <w:vAlign w:val="bottom"/>
            <w:gridSpan w:val="2"/>
            <w:vMerge w:val="continue"/>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ind w:left="660" w:hanging="424"/>
        <w:spacing w:after="0"/>
        <w:tabs>
          <w:tab w:leader="none" w:pos="6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ONLY CONDENSED FINANCIAL INFORMATION</w:t>
      </w:r>
    </w:p>
    <w:p>
      <w:pPr>
        <w:spacing w:after="0" w:line="119" w:lineRule="exact"/>
        <w:rPr>
          <w:sz w:val="20"/>
          <w:szCs w:val="20"/>
          <w:color w:val="auto"/>
        </w:rPr>
      </w:pPr>
    </w:p>
    <w:p>
      <w:pPr>
        <w:ind w:left="240" w:right="40" w:firstLine="438"/>
        <w:spacing w:after="0" w:line="275" w:lineRule="auto"/>
        <w:rPr>
          <w:sz w:val="20"/>
          <w:szCs w:val="20"/>
          <w:color w:val="auto"/>
        </w:rPr>
      </w:pPr>
      <w:r>
        <w:rPr>
          <w:rFonts w:ascii="Arial" w:cs="Arial" w:eastAsia="Arial" w:hAnsi="Arial"/>
          <w:sz w:val="18"/>
          <w:szCs w:val="18"/>
          <w:color w:val="auto"/>
        </w:rPr>
        <w:t>The condensed financial information of the Company has been prepared in accordance with SEC Regulation S-X Rule 5-04 and Rule 12-04, using the same accounting policies as set out in the Group’s consolidated financial statements.</w:t>
      </w:r>
    </w:p>
    <w:p>
      <w:pPr>
        <w:spacing w:after="0" w:line="170" w:lineRule="exact"/>
        <w:rPr>
          <w:sz w:val="20"/>
          <w:szCs w:val="20"/>
          <w:color w:val="auto"/>
        </w:rPr>
      </w:pPr>
    </w:p>
    <w:p>
      <w:pPr>
        <w:ind w:left="240" w:right="20" w:firstLine="438"/>
        <w:spacing w:after="0" w:line="277" w:lineRule="auto"/>
        <w:rPr>
          <w:sz w:val="20"/>
          <w:szCs w:val="20"/>
          <w:color w:val="auto"/>
        </w:rPr>
      </w:pPr>
      <w:r>
        <w:rPr>
          <w:rFonts w:ascii="Arial" w:cs="Arial" w:eastAsia="Arial" w:hAnsi="Arial"/>
          <w:sz w:val="17"/>
          <w:szCs w:val="17"/>
          <w:color w:val="auto"/>
        </w:rPr>
        <w:t>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 purpose financial statements of the reporting entity and should be read in conjunction with the notes to the consolidated financial statements of the Company.</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did not have significant capital and other commitments or guarantees as of December 31, 2017.</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00"/>
          </w:cols>
          <w:pgMar w:left="240" w:top="458"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ONLY CONDENSED FINANCIAL INFORMATION (Continued)</w:t>
      </w:r>
    </w:p>
    <w:p>
      <w:pPr>
        <w:spacing w:after="0" w:line="12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Condensed Balance Sheets (In thousands, except share and per share data)</w:t>
      </w: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5"/>
              </w:rPr>
              <w:t>As of December 31,</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1"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71"/>
              <w:spacing w:after="0" w:line="141"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gridSpan w:val="4"/>
          </w:tcPr>
          <w:p>
            <w:pPr>
              <w:jc w:val="right"/>
              <w:ind w:right="211"/>
              <w:spacing w:after="0" w:line="141" w:lineRule="exact"/>
              <w:rPr>
                <w:sz w:val="20"/>
                <w:szCs w:val="20"/>
                <w:color w:val="auto"/>
              </w:rPr>
            </w:pPr>
            <w:r>
              <w:rPr>
                <w:rFonts w:ascii="Arial" w:cs="Arial" w:eastAsia="Arial" w:hAnsi="Arial"/>
                <w:sz w:val="14"/>
                <w:szCs w:val="14"/>
                <w:b w:val="1"/>
                <w:bCs w:val="1"/>
                <w:color w:val="auto"/>
              </w:rPr>
              <w:t>(HK$ in thousands)</w:t>
            </w:r>
          </w:p>
        </w:tc>
        <w:tc>
          <w:tcPr>
            <w:tcW w:w="360" w:type="dxa"/>
            <w:vAlign w:val="bottom"/>
          </w:tcPr>
          <w:p>
            <w:pPr>
              <w:spacing w:after="0"/>
              <w:rPr>
                <w:sz w:val="12"/>
                <w:szCs w:val="12"/>
                <w:color w:val="auto"/>
              </w:rPr>
            </w:pPr>
          </w:p>
        </w:tc>
        <w:tc>
          <w:tcPr>
            <w:tcW w:w="680" w:type="dxa"/>
            <w:vAlign w:val="bottom"/>
          </w:tcPr>
          <w:p>
            <w:pPr>
              <w:jc w:val="right"/>
              <w:ind w:right="134"/>
              <w:spacing w:after="0" w:line="141"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40" w:type="dxa"/>
            <w:vAlign w:val="bottom"/>
            <w:gridSpan w:val="3"/>
          </w:tcPr>
          <w:p>
            <w:pPr>
              <w:jc w:val="right"/>
              <w:ind w:right="80"/>
              <w:spacing w:after="0"/>
              <w:rPr>
                <w:sz w:val="20"/>
                <w:szCs w:val="20"/>
                <w:color w:val="auto"/>
              </w:rPr>
            </w:pPr>
            <w:r>
              <w:rPr>
                <w:rFonts w:ascii="Arial" w:cs="Arial" w:eastAsia="Arial" w:hAnsi="Arial"/>
                <w:sz w:val="18"/>
                <w:szCs w:val="18"/>
                <w:color w:val="auto"/>
              </w:rPr>
              <w:t>29,833</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8,246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 VIE and VIE’s subsidiary</w:t>
            </w:r>
          </w:p>
        </w:tc>
        <w:tc>
          <w:tcPr>
            <w:tcW w:w="3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279,448</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764,627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97,868</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Other assets</w:t>
            </w:r>
          </w:p>
        </w:tc>
        <w:tc>
          <w:tcPr>
            <w:tcW w:w="2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184,996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755,342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96,683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494,277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1,528,215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195,606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vMerge w:val="continue"/>
          </w:tcPr>
          <w:p>
            <w:pPr>
              <w:spacing w:after="0"/>
              <w:rPr>
                <w:sz w:val="18"/>
                <w:szCs w:val="18"/>
                <w:color w:val="auto"/>
              </w:rPr>
            </w:pP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3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1,480</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Short-term borrowings</w:t>
            </w:r>
          </w:p>
        </w:tc>
        <w:tc>
          <w:tcPr>
            <w:tcW w:w="3540" w:type="dxa"/>
            <w:vAlign w:val="bottom"/>
            <w:gridSpan w:val="3"/>
          </w:tcPr>
          <w:p>
            <w:pPr>
              <w:jc w:val="right"/>
              <w:ind w:right="80"/>
              <w:spacing w:after="0"/>
              <w:rPr>
                <w:sz w:val="20"/>
                <w:szCs w:val="20"/>
                <w:color w:val="auto"/>
              </w:rPr>
            </w:pPr>
            <w:r>
              <w:rPr>
                <w:rFonts w:ascii="Arial" w:cs="Arial" w:eastAsia="Arial" w:hAnsi="Arial"/>
                <w:sz w:val="18"/>
                <w:szCs w:val="18"/>
                <w:color w:val="auto"/>
              </w:rPr>
              <w:t>150,000</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400,000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51,198</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3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32,030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497</w:t>
            </w: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183,866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400,999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51,326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3540" w:type="dxa"/>
            <w:vAlign w:val="bottom"/>
            <w:gridSpan w:val="3"/>
          </w:tcPr>
          <w:p>
            <w:pPr>
              <w:ind w:left="500"/>
              <w:spacing w:after="0"/>
              <w:rPr>
                <w:sz w:val="20"/>
                <w:szCs w:val="20"/>
                <w:color w:val="auto"/>
              </w:rPr>
            </w:pPr>
            <w:r>
              <w:rPr>
                <w:rFonts w:ascii="Arial" w:cs="Arial" w:eastAsia="Arial" w:hAnsi="Arial"/>
                <w:sz w:val="18"/>
                <w:szCs w:val="18"/>
                <w:color w:val="auto"/>
              </w:rPr>
              <w:t>F-54</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240" w:top="457" w:right="91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ONLY CONDENSED FINANCIAL INFORMATION (Continued)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Balance Sheets (In thousands, except share and per share data)</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As of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680" w:type="dxa"/>
            <w:vAlign w:val="bottom"/>
            <w:tcBorders>
              <w:bottom w:val="single" w:sz="8" w:color="auto"/>
            </w:tcBorders>
          </w:tcPr>
          <w:p>
            <w:pPr>
              <w:jc w:val="right"/>
              <w:ind w:right="113"/>
              <w:spacing w:after="0" w:line="141"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193"/>
              <w:spacing w:after="0" w:line="141"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33"/>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680" w:type="dxa"/>
            <w:vAlign w:val="bottom"/>
          </w:tcPr>
          <w:p>
            <w:pPr>
              <w:jc w:val="right"/>
              <w:ind w:right="113"/>
              <w:spacing w:after="0" w:line="141" w:lineRule="exact"/>
              <w:rPr>
                <w:sz w:val="20"/>
                <w:szCs w:val="20"/>
                <w:color w:val="auto"/>
              </w:rPr>
            </w:pPr>
            <w:r>
              <w:rPr>
                <w:rFonts w:ascii="Arial" w:cs="Arial" w:eastAsia="Arial" w:hAnsi="Arial"/>
                <w:sz w:val="14"/>
                <w:szCs w:val="14"/>
                <w:b w:val="1"/>
                <w:bCs w:val="1"/>
                <w:color w:val="auto"/>
              </w:rPr>
              <w:t>HK$</w:t>
            </w:r>
          </w:p>
        </w:tc>
        <w:tc>
          <w:tcPr>
            <w:tcW w:w="200" w:type="dxa"/>
            <w:vAlign w:val="bottom"/>
          </w:tcPr>
          <w:p>
            <w:pPr>
              <w:spacing w:after="0"/>
              <w:rPr>
                <w:sz w:val="12"/>
                <w:szCs w:val="12"/>
                <w:color w:val="auto"/>
              </w:rPr>
            </w:pPr>
          </w:p>
        </w:tc>
        <w:tc>
          <w:tcPr>
            <w:tcW w:w="840" w:type="dxa"/>
            <w:vAlign w:val="bottom"/>
          </w:tcPr>
          <w:p>
            <w:pPr>
              <w:jc w:val="right"/>
              <w:ind w:right="193"/>
              <w:spacing w:after="0" w:line="141" w:lineRule="exact"/>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2"/>
                <w:szCs w:val="12"/>
                <w:color w:val="auto"/>
              </w:rPr>
            </w:pPr>
          </w:p>
        </w:tc>
        <w:tc>
          <w:tcPr>
            <w:tcW w:w="700" w:type="dxa"/>
            <w:vAlign w:val="bottom"/>
          </w:tcPr>
          <w:p>
            <w:pPr>
              <w:jc w:val="right"/>
              <w:ind w:right="153"/>
              <w:spacing w:after="0" w:line="141"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180" w:type="dxa"/>
            <w:vAlign w:val="bottom"/>
          </w:tcPr>
          <w:p>
            <w:pPr>
              <w:spacing w:after="0" w:line="201" w:lineRule="exact"/>
              <w:rPr>
                <w:sz w:val="20"/>
                <w:szCs w:val="20"/>
                <w:color w:val="auto"/>
              </w:rPr>
            </w:pPr>
            <w:r>
              <w:rPr>
                <w:rFonts w:ascii="Arial" w:cs="Arial" w:eastAsia="Arial" w:hAnsi="Arial"/>
                <w:sz w:val="18"/>
                <w:szCs w:val="18"/>
                <w:color w:val="auto"/>
              </w:rPr>
              <w:t>Series A convertible redeemable preferred shares ($0.00001 of par value per share; 125,000,000 and</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w w:val="95"/>
              </w:rPr>
              <w:t>125,000,000 shares authorized, issued and outstanding as of December 31, 2016 and 2017, respectively)</w:t>
            </w:r>
          </w:p>
        </w:tc>
        <w:tc>
          <w:tcPr>
            <w:tcW w:w="880" w:type="dxa"/>
            <w:vAlign w:val="bottom"/>
            <w:gridSpan w:val="2"/>
          </w:tcPr>
          <w:p>
            <w:pPr>
              <w:jc w:val="right"/>
              <w:ind w:right="128"/>
              <w:spacing w:after="0"/>
              <w:rPr>
                <w:sz w:val="20"/>
                <w:szCs w:val="20"/>
                <w:color w:val="auto"/>
              </w:rPr>
            </w:pPr>
            <w:r>
              <w:rPr>
                <w:rFonts w:ascii="Arial" w:cs="Arial" w:eastAsia="Arial" w:hAnsi="Arial"/>
                <w:sz w:val="18"/>
                <w:szCs w:val="18"/>
                <w:color w:val="auto"/>
              </w:rPr>
              <w:t>61,506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64,780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8,292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A-1 convertible redeemable preferred shares ($0.00001 of par value per share; 23,437,500 and 23,437,500</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authorized, issued and outstanding as of December 31, 2016 and 2017, respectively)</w:t>
            </w:r>
          </w:p>
        </w:tc>
        <w:tc>
          <w:tcPr>
            <w:tcW w:w="8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13,180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180" w:type="dxa"/>
            <w:vAlign w:val="bottom"/>
          </w:tcPr>
          <w:p>
            <w:pPr>
              <w:spacing w:after="0" w:line="201" w:lineRule="exact"/>
              <w:rPr>
                <w:sz w:val="20"/>
                <w:szCs w:val="20"/>
                <w:color w:val="auto"/>
              </w:rPr>
            </w:pPr>
            <w:r>
              <w:rPr>
                <w:rFonts w:ascii="Arial" w:cs="Arial" w:eastAsia="Arial" w:hAnsi="Arial"/>
                <w:sz w:val="18"/>
                <w:szCs w:val="18"/>
                <w:color w:val="auto"/>
                <w:w w:val="91"/>
              </w:rPr>
              <w:t>Series B convertible redeemable preferred shares ($0.00001 of par value per share; 88,423,500 and 88,423,500</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shares authorized, issued and outstanding as of December 31, 2016 and 2017, respectively)</w:t>
            </w:r>
          </w:p>
        </w:tc>
        <w:tc>
          <w:tcPr>
            <w:tcW w:w="880" w:type="dxa"/>
            <w:vAlign w:val="bottom"/>
            <w:gridSpan w:val="2"/>
          </w:tcPr>
          <w:p>
            <w:pPr>
              <w:jc w:val="right"/>
              <w:ind w:right="128"/>
              <w:spacing w:after="0"/>
              <w:rPr>
                <w:sz w:val="20"/>
                <w:szCs w:val="20"/>
                <w:color w:val="auto"/>
              </w:rPr>
            </w:pPr>
            <w:r>
              <w:rPr>
                <w:rFonts w:ascii="Arial" w:cs="Arial" w:eastAsia="Arial" w:hAnsi="Arial"/>
                <w:sz w:val="18"/>
                <w:szCs w:val="18"/>
                <w:color w:val="auto"/>
              </w:rPr>
              <w:t>254,489</w:t>
            </w:r>
          </w:p>
        </w:tc>
        <w:tc>
          <w:tcPr>
            <w:tcW w:w="840" w:type="dxa"/>
            <w:vAlign w:val="bottom"/>
          </w:tcPr>
          <w:p>
            <w:pPr>
              <w:jc w:val="right"/>
              <w:spacing w:after="0"/>
              <w:rPr>
                <w:sz w:val="20"/>
                <w:szCs w:val="20"/>
                <w:color w:val="auto"/>
              </w:rPr>
            </w:pPr>
            <w:r>
              <w:rPr>
                <w:rFonts w:ascii="Arial" w:cs="Arial" w:eastAsia="Arial" w:hAnsi="Arial"/>
                <w:sz w:val="18"/>
                <w:szCs w:val="18"/>
                <w:color w:val="auto"/>
              </w:rPr>
              <w:t>268,520</w:t>
            </w:r>
          </w:p>
        </w:tc>
        <w:tc>
          <w:tcPr>
            <w:tcW w:w="2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34,369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convertible redeemable preferred shares ($0.00001 of par value per share; nil share authorized, issued</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and outstanding as of December 31, 2016; and 128,844,812 shares authorized, issued and outstanding as of</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2017)</w:t>
            </w:r>
          </w:p>
        </w:tc>
        <w:tc>
          <w:tcPr>
            <w:tcW w:w="8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734,872</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94,060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180" w:type="dxa"/>
            <w:vAlign w:val="bottom"/>
          </w:tcPr>
          <w:p>
            <w:pPr>
              <w:spacing w:after="0" w:line="201" w:lineRule="exact"/>
              <w:rPr>
                <w:sz w:val="20"/>
                <w:szCs w:val="20"/>
                <w:color w:val="auto"/>
              </w:rPr>
            </w:pPr>
            <w:r>
              <w:rPr>
                <w:rFonts w:ascii="Arial" w:cs="Arial" w:eastAsia="Arial" w:hAnsi="Arial"/>
                <w:sz w:val="18"/>
                <w:szCs w:val="18"/>
                <w:color w:val="auto"/>
                <w:w w:val="89"/>
              </w:rPr>
              <w:t>Series C-1 convertible redeemable preferred shares ($0.00001 of par value per share; nil share authorized, issued</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w w:val="93"/>
              </w:rPr>
              <w:t>and outstanding as of December 31, 2016; and 12,225,282 shares authorized, issued and outstanding as of</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December 31, 2017)</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101,422</w:t>
            </w:r>
          </w:p>
        </w:tc>
        <w:tc>
          <w:tcPr>
            <w:tcW w:w="2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8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329,175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1,183,475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151,480</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SHAREHOLDERS’ DEFICIT</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Ordinary shares (US$0.00001 par value; 4,763,139,000 and 4,622,068,906 shares authorized as of December 31,</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2016 and 2017, respectively; 403,750,000 shares issued and outstanding as of December 31, 2016 and 2017,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respectively; 781,681,094 shares issued and outstanding on a pro forma basis as of December 31, 2017)</w:t>
            </w:r>
          </w:p>
        </w:tc>
        <w:tc>
          <w:tcPr>
            <w:tcW w:w="8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880" w:type="dxa"/>
            <w:vAlign w:val="bottom"/>
            <w:gridSpan w:val="2"/>
          </w:tcPr>
          <w:p>
            <w:pPr>
              <w:jc w:val="right"/>
              <w:ind w:right="128"/>
              <w:spacing w:after="0"/>
              <w:rPr>
                <w:sz w:val="20"/>
                <w:szCs w:val="20"/>
                <w:color w:val="auto"/>
              </w:rPr>
            </w:pPr>
            <w:r>
              <w:rPr>
                <w:rFonts w:ascii="Arial" w:cs="Arial" w:eastAsia="Arial" w:hAnsi="Arial"/>
                <w:sz w:val="18"/>
                <w:szCs w:val="18"/>
                <w:color w:val="auto"/>
              </w:rPr>
              <w:t>107</w:t>
            </w:r>
          </w:p>
        </w:tc>
        <w:tc>
          <w:tcPr>
            <w:tcW w:w="840" w:type="dxa"/>
            <w:vAlign w:val="bottom"/>
          </w:tcPr>
          <w:p>
            <w:pPr>
              <w:jc w:val="right"/>
              <w:spacing w:after="0"/>
              <w:rPr>
                <w:sz w:val="20"/>
                <w:szCs w:val="20"/>
                <w:color w:val="auto"/>
              </w:rPr>
            </w:pPr>
            <w:r>
              <w:rPr>
                <w:rFonts w:ascii="Arial" w:cs="Arial" w:eastAsia="Arial" w:hAnsi="Arial"/>
                <w:sz w:val="18"/>
                <w:szCs w:val="18"/>
                <w:color w:val="auto"/>
              </w:rPr>
              <w:t>7,864</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(18,902)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(64,154)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29"/>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(18,764)</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(56,259)</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8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494,277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1,528,215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195,606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5280"/>
              <w:spacing w:after="0"/>
              <w:rPr>
                <w:sz w:val="20"/>
                <w:szCs w:val="20"/>
                <w:color w:val="auto"/>
              </w:rPr>
            </w:pPr>
            <w:r>
              <w:rPr>
                <w:rFonts w:ascii="Arial" w:cs="Arial" w:eastAsia="Arial" w:hAnsi="Arial"/>
                <w:sz w:val="18"/>
                <w:szCs w:val="18"/>
                <w:color w:val="auto"/>
              </w:rPr>
              <w:t>F-55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1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7"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2840" w:hanging="444"/>
        <w:spacing w:after="0" w:line="502" w:lineRule="auto"/>
        <w:tabs>
          <w:tab w:leader="none" w:pos="672"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PARENT COMPANY ONLY CONDENSED FINANCIAL INFORMATION (Continued) Condensed Statements of Comprehensive Loss (In thousands, except share and per share data)</w:t>
      </w:r>
    </w:p>
    <w:p>
      <w:pPr>
        <w:spacing w:after="0" w:line="18"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80" w:type="dxa"/>
            <w:vAlign w:val="bottom"/>
            <w:gridSpan w:val="6"/>
          </w:tcPr>
          <w:p>
            <w:pPr>
              <w:jc w:val="right"/>
              <w:ind w:right="42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1"/>
        </w:trPr>
        <w:tc>
          <w:tcPr>
            <w:tcW w:w="47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1"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1"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7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2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rPr>
              <w:t>HK$</w:t>
            </w:r>
          </w:p>
        </w:tc>
        <w:tc>
          <w:tcPr>
            <w:tcW w:w="320" w:type="dxa"/>
            <w:vAlign w:val="bottom"/>
          </w:tcPr>
          <w:p>
            <w:pPr>
              <w:spacing w:after="0"/>
              <w:rPr>
                <w:sz w:val="12"/>
                <w:szCs w:val="12"/>
                <w:color w:val="auto"/>
              </w:rPr>
            </w:pPr>
          </w:p>
        </w:tc>
        <w:tc>
          <w:tcPr>
            <w:tcW w:w="600" w:type="dxa"/>
            <w:vAlign w:val="bottom"/>
          </w:tcPr>
          <w:p>
            <w:pPr>
              <w:jc w:val="right"/>
              <w:ind w:right="73"/>
              <w:spacing w:after="0" w:line="141" w:lineRule="exact"/>
              <w:rPr>
                <w:sz w:val="20"/>
                <w:szCs w:val="20"/>
                <w:color w:val="auto"/>
              </w:rPr>
            </w:pPr>
            <w:r>
              <w:rPr>
                <w:rFonts w:ascii="Arial" w:cs="Arial" w:eastAsia="Arial" w:hAnsi="Arial"/>
                <w:sz w:val="14"/>
                <w:szCs w:val="14"/>
                <w:b w:val="1"/>
                <w:bCs w:val="1"/>
                <w:color w:val="auto"/>
              </w:rPr>
              <w:t>HK$</w:t>
            </w:r>
          </w:p>
        </w:tc>
        <w:tc>
          <w:tcPr>
            <w:tcW w:w="320" w:type="dxa"/>
            <w:vAlign w:val="bottom"/>
          </w:tcPr>
          <w:p>
            <w:pPr>
              <w:spacing w:after="0"/>
              <w:rPr>
                <w:sz w:val="12"/>
                <w:szCs w:val="12"/>
                <w:color w:val="auto"/>
              </w:rPr>
            </w:pPr>
          </w:p>
        </w:tc>
        <w:tc>
          <w:tcPr>
            <w:tcW w:w="520" w:type="dxa"/>
            <w:vAlign w:val="bottom"/>
          </w:tcPr>
          <w:p>
            <w:pPr>
              <w:jc w:val="right"/>
              <w:ind w:right="53"/>
              <w:spacing w:after="0" w:line="141"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w:t>
            </w:r>
          </w:p>
        </w:tc>
        <w:tc>
          <w:tcPr>
            <w:tcW w:w="2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Interest expenses</w:t>
            </w:r>
          </w:p>
        </w:tc>
        <w:tc>
          <w:tcPr>
            <w:tcW w:w="2800" w:type="dxa"/>
            <w:vAlign w:val="bottom"/>
          </w:tcPr>
          <w:p>
            <w:pPr>
              <w:spacing w:after="0"/>
              <w:rPr>
                <w:sz w:val="18"/>
                <w:szCs w:val="18"/>
                <w:color w:val="auto"/>
              </w:rPr>
            </w:pPr>
          </w:p>
        </w:tc>
        <w:tc>
          <w:tcPr>
            <w:tcW w:w="940" w:type="dxa"/>
            <w:vAlign w:val="bottom"/>
            <w:gridSpan w:val="2"/>
          </w:tcPr>
          <w:p>
            <w:pPr>
              <w:jc w:val="right"/>
              <w:ind w:right="182"/>
              <w:spacing w:after="0"/>
              <w:rPr>
                <w:sz w:val="20"/>
                <w:szCs w:val="20"/>
                <w:color w:val="auto"/>
              </w:rPr>
            </w:pPr>
            <w:r>
              <w:rPr>
                <w:rFonts w:ascii="Arial" w:cs="Arial" w:eastAsia="Arial" w:hAnsi="Arial"/>
                <w:sz w:val="18"/>
                <w:szCs w:val="18"/>
                <w:color w:val="auto"/>
              </w:rPr>
              <w:t>(2,387)</w:t>
            </w:r>
          </w:p>
        </w:tc>
        <w:tc>
          <w:tcPr>
            <w:tcW w:w="920" w:type="dxa"/>
            <w:vAlign w:val="bottom"/>
            <w:gridSpan w:val="2"/>
          </w:tcPr>
          <w:p>
            <w:pPr>
              <w:jc w:val="right"/>
              <w:ind w:right="182"/>
              <w:spacing w:after="0"/>
              <w:rPr>
                <w:sz w:val="20"/>
                <w:szCs w:val="20"/>
                <w:color w:val="auto"/>
              </w:rPr>
            </w:pPr>
            <w:r>
              <w:rPr>
                <w:rFonts w:ascii="Arial" w:cs="Arial" w:eastAsia="Arial" w:hAnsi="Arial"/>
                <w:sz w:val="18"/>
                <w:szCs w:val="18"/>
                <w:color w:val="auto"/>
              </w:rPr>
              <w:t>(5,015)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w:t>
            </w:r>
          </w:p>
        </w:tc>
        <w:tc>
          <w:tcPr>
            <w:tcW w:w="2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(2,387)</w:t>
            </w:r>
          </w:p>
        </w:tc>
        <w:tc>
          <w:tcPr>
            <w:tcW w:w="9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(5,015)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b w:val="1"/>
                <w:bCs w:val="1"/>
                <w:color w:val="auto"/>
              </w:rPr>
              <w:t>Total gross profit</w:t>
            </w:r>
          </w:p>
        </w:tc>
        <w:tc>
          <w:tcPr>
            <w:tcW w:w="28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(5,015)</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0" w:type="dxa"/>
            <w:vAlign w:val="bottom"/>
          </w:tcPr>
          <w:p>
            <w:pPr>
              <w:spacing w:after="0"/>
              <w:rPr>
                <w:sz w:val="18"/>
                <w:szCs w:val="18"/>
                <w:color w:val="auto"/>
              </w:rPr>
            </w:pPr>
          </w:p>
        </w:tc>
        <w:tc>
          <w:tcPr>
            <w:tcW w:w="940" w:type="dxa"/>
            <w:vAlign w:val="bottom"/>
            <w:gridSpan w:val="2"/>
          </w:tcPr>
          <w:p>
            <w:pPr>
              <w:jc w:val="right"/>
              <w:ind w:right="182"/>
              <w:spacing w:after="0"/>
              <w:rPr>
                <w:sz w:val="20"/>
                <w:szCs w:val="20"/>
                <w:color w:val="auto"/>
              </w:rPr>
            </w:pPr>
            <w:r>
              <w:rPr>
                <w:rFonts w:ascii="Arial" w:cs="Arial" w:eastAsia="Arial" w:hAnsi="Arial"/>
                <w:sz w:val="18"/>
                <w:szCs w:val="18"/>
                <w:color w:val="auto"/>
              </w:rPr>
              <w:t>(230)</w:t>
            </w:r>
          </w:p>
        </w:tc>
        <w:tc>
          <w:tcPr>
            <w:tcW w:w="920" w:type="dxa"/>
            <w:vAlign w:val="bottom"/>
            <w:gridSpan w:val="2"/>
          </w:tcPr>
          <w:p>
            <w:pPr>
              <w:jc w:val="right"/>
              <w:ind w:right="182"/>
              <w:spacing w:after="0"/>
              <w:rPr>
                <w:sz w:val="20"/>
                <w:szCs w:val="20"/>
                <w:color w:val="auto"/>
              </w:rPr>
            </w:pPr>
            <w:r>
              <w:rPr>
                <w:rFonts w:ascii="Arial" w:cs="Arial" w:eastAsia="Arial" w:hAnsi="Arial"/>
                <w:sz w:val="18"/>
                <w:szCs w:val="18"/>
                <w:color w:val="auto"/>
              </w:rPr>
              <w:t>(1,693)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(230)</w:t>
            </w:r>
          </w:p>
        </w:tc>
        <w:tc>
          <w:tcPr>
            <w:tcW w:w="9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(1,693)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Others, net</w:t>
            </w:r>
          </w:p>
        </w:tc>
        <w:tc>
          <w:tcPr>
            <w:tcW w:w="28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7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(2,617)</w:t>
            </w:r>
          </w:p>
        </w:tc>
        <w:tc>
          <w:tcPr>
            <w:tcW w:w="9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(7,306)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Income tax expense</w:t>
            </w:r>
          </w:p>
        </w:tc>
        <w:tc>
          <w:tcPr>
            <w:tcW w:w="28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(2,617)</w:t>
            </w:r>
          </w:p>
        </w:tc>
        <w:tc>
          <w:tcPr>
            <w:tcW w:w="9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(7,306)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Preferred shares redemption value accretion</w:t>
            </w:r>
          </w:p>
        </w:tc>
        <w:tc>
          <w:tcPr>
            <w:tcW w:w="2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80" w:type="dxa"/>
            <w:vAlign w:val="bottom"/>
            <w:vMerge w:val="continue"/>
          </w:tcPr>
          <w:p>
            <w:pPr>
              <w:spacing w:after="0"/>
              <w:rPr>
                <w:sz w:val="18"/>
                <w:szCs w:val="18"/>
                <w:color w:val="auto"/>
              </w:rPr>
            </w:pPr>
          </w:p>
        </w:tc>
        <w:tc>
          <w:tcPr>
            <w:tcW w:w="28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(17,929</w:t>
            </w:r>
          </w:p>
        </w:tc>
        <w:tc>
          <w:tcPr>
            <w:tcW w:w="320" w:type="dxa"/>
            <w:vAlign w:val="bottom"/>
          </w:tcPr>
          <w:p>
            <w:pPr>
              <w:jc w:val="right"/>
              <w:ind w:right="182"/>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(47,715</w:t>
            </w:r>
          </w:p>
        </w:tc>
        <w:tc>
          <w:tcPr>
            <w:tcW w:w="320" w:type="dxa"/>
            <w:vAlign w:val="bottom"/>
          </w:tcPr>
          <w:p>
            <w:pPr>
              <w:jc w:val="right"/>
              <w:ind w:right="182"/>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(6,107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loss attributable to ordinary shareholder of the Company</w:t>
            </w:r>
          </w:p>
        </w:tc>
        <w:tc>
          <w:tcPr>
            <w:tcW w:w="37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(20,546)</w:t>
            </w:r>
          </w:p>
        </w:tc>
        <w:tc>
          <w:tcPr>
            <w:tcW w:w="9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w w:val="95"/>
              </w:rPr>
              <w:t>(55,021)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(7,043)</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2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7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139</w:t>
            </w:r>
          </w:p>
        </w:tc>
        <w:tc>
          <w:tcPr>
            <w:tcW w:w="92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7,757</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28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(20,407</w:t>
            </w:r>
          </w:p>
        </w:tc>
        <w:tc>
          <w:tcPr>
            <w:tcW w:w="320" w:type="dxa"/>
            <w:vAlign w:val="bottom"/>
          </w:tcPr>
          <w:p>
            <w:pPr>
              <w:jc w:val="right"/>
              <w:ind w:right="182"/>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(47,264</w:t>
            </w:r>
          </w:p>
        </w:tc>
        <w:tc>
          <w:tcPr>
            <w:tcW w:w="320" w:type="dxa"/>
            <w:vAlign w:val="bottom"/>
          </w:tcPr>
          <w:p>
            <w:pPr>
              <w:jc w:val="right"/>
              <w:ind w:right="182"/>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80" w:type="dxa"/>
            <w:vAlign w:val="bottom"/>
          </w:tcPr>
          <w:p>
            <w:pPr>
              <w:spacing w:after="0"/>
              <w:rPr>
                <w:sz w:val="24"/>
                <w:szCs w:val="24"/>
                <w:color w:val="auto"/>
              </w:rPr>
            </w:pPr>
          </w:p>
        </w:tc>
        <w:tc>
          <w:tcPr>
            <w:tcW w:w="3740" w:type="dxa"/>
            <w:vAlign w:val="bottom"/>
            <w:gridSpan w:val="3"/>
          </w:tcPr>
          <w:p>
            <w:pPr>
              <w:jc w:val="right"/>
              <w:ind w:right="3242"/>
              <w:spacing w:after="0"/>
              <w:rPr>
                <w:sz w:val="20"/>
                <w:szCs w:val="20"/>
                <w:color w:val="auto"/>
              </w:rPr>
            </w:pPr>
            <w:r>
              <w:rPr>
                <w:rFonts w:ascii="Arial" w:cs="Arial" w:eastAsia="Arial" w:hAnsi="Arial"/>
                <w:sz w:val="18"/>
                <w:szCs w:val="18"/>
                <w:color w:val="auto"/>
              </w:rPr>
              <w:t>F-56</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240" w:top="457" w:right="9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60" w:hanging="424"/>
        <w:spacing w:after="0"/>
        <w:tabs>
          <w:tab w:leader="none" w:pos="6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ONLY CONDENSED FINANCIAL INFORMATION (Continued)</w:t>
      </w:r>
    </w:p>
    <w:p>
      <w:pPr>
        <w:spacing w:after="0" w:line="128" w:lineRule="exact"/>
        <w:rPr>
          <w:rFonts w:ascii="Arial" w:cs="Arial" w:eastAsia="Arial" w:hAnsi="Arial"/>
          <w:sz w:val="18"/>
          <w:szCs w:val="18"/>
          <w:b w:val="1"/>
          <w:bCs w:val="1"/>
          <w:color w:val="auto"/>
        </w:rPr>
      </w:pPr>
    </w:p>
    <w:p>
      <w:pPr>
        <w:ind w:left="680" w:right="6140"/>
        <w:spacing w:after="0" w:line="344" w:lineRule="auto"/>
        <w:rPr>
          <w:rFonts w:ascii="Arial" w:cs="Arial" w:eastAsia="Arial" w:hAnsi="Arial"/>
          <w:sz w:val="18"/>
          <w:szCs w:val="18"/>
          <w:b w:val="1"/>
          <w:bCs w:val="1"/>
          <w:color w:val="auto"/>
        </w:rPr>
      </w:pPr>
      <w:r>
        <w:rPr>
          <w:rFonts w:ascii="Arial" w:cs="Arial" w:eastAsia="Arial" w:hAnsi="Arial"/>
          <w:sz w:val="16"/>
          <w:szCs w:val="16"/>
          <w:b w:val="1"/>
          <w:bCs w:val="1"/>
          <w:color w:val="auto"/>
        </w:rPr>
        <w:t>Condensed Statements of changes in shareholders’ deficit (In thousands, except share and per share data)</w:t>
      </w:r>
    </w:p>
    <w:p>
      <w:pPr>
        <w:spacing w:after="0" w:line="12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2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Share capital</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820" w:type="dxa"/>
            <w:vAlign w:val="bottom"/>
            <w:tcBorders>
              <w:bottom w:val="single" w:sz="8" w:color="auto"/>
            </w:tcBorders>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tcPr>
          <w:p>
            <w:pPr>
              <w:jc w:val="center"/>
              <w:ind w:right="400"/>
              <w:spacing w:after="0" w:line="124" w:lineRule="exact"/>
              <w:rPr>
                <w:sz w:val="20"/>
                <w:szCs w:val="20"/>
                <w:color w:val="auto"/>
              </w:rPr>
            </w:pPr>
            <w:r>
              <w:rPr>
                <w:rFonts w:ascii="Arial" w:cs="Arial" w:eastAsia="Arial" w:hAnsi="Arial"/>
                <w:sz w:val="14"/>
                <w:szCs w:val="14"/>
                <w:b w:val="1"/>
                <w:bCs w:val="1"/>
                <w:color w:val="auto"/>
                <w:w w:val="93"/>
              </w:rPr>
              <w:t>Additional</w:t>
            </w:r>
          </w:p>
        </w:tc>
        <w:tc>
          <w:tcPr>
            <w:tcW w:w="1340" w:type="dxa"/>
            <w:vAlign w:val="bottom"/>
            <w:gridSpan w:val="2"/>
          </w:tcPr>
          <w:p>
            <w:pPr>
              <w:jc w:val="center"/>
              <w:ind w:right="420"/>
              <w:spacing w:after="0" w:line="124" w:lineRule="exact"/>
              <w:rPr>
                <w:sz w:val="20"/>
                <w:szCs w:val="20"/>
                <w:color w:val="auto"/>
              </w:rPr>
            </w:pPr>
            <w:r>
              <w:rPr>
                <w:rFonts w:ascii="Arial" w:cs="Arial" w:eastAsia="Arial" w:hAnsi="Arial"/>
                <w:sz w:val="14"/>
                <w:szCs w:val="14"/>
                <w:b w:val="1"/>
                <w:bCs w:val="1"/>
                <w:color w:val="auto"/>
                <w:w w:val="91"/>
              </w:rPr>
              <w:t>other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80" w:type="dxa"/>
            <w:vAlign w:val="bottom"/>
          </w:tcPr>
          <w:p>
            <w:pPr>
              <w:spacing w:after="0"/>
              <w:rPr>
                <w:sz w:val="12"/>
                <w:szCs w:val="12"/>
                <w:color w:val="auto"/>
              </w:rPr>
            </w:pPr>
          </w:p>
        </w:tc>
        <w:tc>
          <w:tcPr>
            <w:tcW w:w="980" w:type="dxa"/>
            <w:vAlign w:val="bottom"/>
            <w:gridSpan w:val="2"/>
          </w:tcPr>
          <w:p>
            <w:pPr>
              <w:ind w:left="140"/>
              <w:spacing w:after="0" w:line="145" w:lineRule="exact"/>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2"/>
                <w:szCs w:val="12"/>
                <w:color w:val="auto"/>
              </w:rPr>
            </w:pPr>
          </w:p>
        </w:tc>
        <w:tc>
          <w:tcPr>
            <w:tcW w:w="108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5"/>
              </w:rPr>
              <w:t>paid-in</w:t>
            </w:r>
          </w:p>
        </w:tc>
        <w:tc>
          <w:tcPr>
            <w:tcW w:w="134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1220" w:type="dxa"/>
            <w:vAlign w:val="bottom"/>
            <w:gridSpan w:val="2"/>
          </w:tcPr>
          <w:p>
            <w:pPr>
              <w:jc w:val="right"/>
              <w:ind w:right="420"/>
              <w:spacing w:after="0" w:line="145" w:lineRule="exact"/>
              <w:rPr>
                <w:sz w:val="20"/>
                <w:szCs w:val="20"/>
                <w:color w:val="auto"/>
              </w:rPr>
            </w:pPr>
            <w:r>
              <w:rPr>
                <w:rFonts w:ascii="Arial" w:cs="Arial" w:eastAsia="Arial" w:hAnsi="Arial"/>
                <w:sz w:val="14"/>
                <w:szCs w:val="14"/>
                <w:b w:val="1"/>
                <w:bCs w:val="1"/>
                <w:color w:val="auto"/>
                <w:w w:val="88"/>
              </w:rPr>
              <w:t>Accumulated</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Total equity</w:t>
            </w:r>
          </w:p>
        </w:tc>
        <w:tc>
          <w:tcPr>
            <w:tcW w:w="0" w:type="dxa"/>
            <w:vAlign w:val="bottom"/>
          </w:tcPr>
          <w:p>
            <w:pPr>
              <w:spacing w:after="0"/>
              <w:rPr>
                <w:sz w:val="1"/>
                <w:szCs w:val="1"/>
                <w:color w:val="auto"/>
              </w:rPr>
            </w:pPr>
          </w:p>
        </w:tc>
      </w:tr>
      <w:tr>
        <w:trPr>
          <w:trHeight w:val="170"/>
        </w:trPr>
        <w:tc>
          <w:tcPr>
            <w:tcW w:w="428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capital</w:t>
            </w: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(loss)/ income</w:t>
            </w: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deficit</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January 1, 2016</w:t>
            </w: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403,750,000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(7,511)</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Loss for the year</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(2,617)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9,155</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Preferred shares redemption value accretion</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(9,155)</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(8,774)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(17,929)</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tax</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139</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Balance at December 31, 2016</w:t>
            </w: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403,750,000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w w:val="86"/>
              </w:rPr>
              <w:t>107</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(18,902)</w:t>
            </w:r>
          </w:p>
        </w:tc>
        <w:tc>
          <w:tcPr>
            <w:tcW w:w="4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2017</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89"/>
              </w:rPr>
              <w:t>403,750,000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107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(18,902)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(18,764)</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Loss for the year</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(7,306)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(7,306)</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9,769</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9,769</w:t>
            </w: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Preferred shares redemption value accretion</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(9,769)</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(37,946)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(47,715)</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tax</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7,757</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403,750,000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7,864</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(64,154)</w:t>
            </w:r>
          </w:p>
        </w:tc>
        <w:tc>
          <w:tcPr>
            <w:tcW w:w="4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right"/>
              <w:ind w:right="372"/>
              <w:spacing w:after="0"/>
              <w:rPr>
                <w:sz w:val="20"/>
                <w:szCs w:val="20"/>
                <w:color w:val="auto"/>
              </w:rPr>
            </w:pPr>
            <w:r>
              <w:rPr>
                <w:rFonts w:ascii="Arial" w:cs="Arial" w:eastAsia="Arial" w:hAnsi="Arial"/>
                <w:sz w:val="18"/>
                <w:szCs w:val="18"/>
                <w:color w:val="auto"/>
                <w:w w:val="97"/>
              </w:rPr>
              <w:t>F-57</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7"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 HOLDINGS LIMITED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0" w:lineRule="exact"/>
        <w:rPr>
          <w:sz w:val="20"/>
          <w:szCs w:val="20"/>
          <w:color w:val="auto"/>
        </w:rPr>
      </w:pPr>
    </w:p>
    <w:p>
      <w:pPr>
        <w:ind w:left="680" w:right="3740" w:hanging="444"/>
        <w:spacing w:after="0" w:line="419" w:lineRule="auto"/>
        <w:tabs>
          <w:tab w:leader="none" w:pos="672"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ONLY CONDENSED FINANCIAL INFORMATION (Continued) Condensed Statements of Cash Flows (In thousands)</w:t>
      </w:r>
    </w:p>
    <w:p>
      <w:pPr>
        <w:spacing w:after="0" w:line="65"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1"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740" w:type="dxa"/>
            <w:vAlign w:val="bottom"/>
          </w:tcPr>
          <w:p>
            <w:pPr>
              <w:jc w:val="right"/>
              <w:ind w:right="133"/>
              <w:spacing w:after="0" w:line="141" w:lineRule="exact"/>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2"/>
                <w:szCs w:val="12"/>
                <w:color w:val="auto"/>
              </w:rPr>
            </w:pPr>
          </w:p>
        </w:tc>
        <w:tc>
          <w:tcPr>
            <w:tcW w:w="840" w:type="dxa"/>
            <w:vAlign w:val="bottom"/>
          </w:tcPr>
          <w:p>
            <w:pPr>
              <w:jc w:val="right"/>
              <w:ind w:right="192"/>
              <w:spacing w:after="0" w:line="141" w:lineRule="exact"/>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2"/>
                <w:szCs w:val="12"/>
                <w:color w:val="auto"/>
              </w:rPr>
            </w:pPr>
          </w:p>
        </w:tc>
        <w:tc>
          <w:tcPr>
            <w:tcW w:w="720" w:type="dxa"/>
            <w:vAlign w:val="bottom"/>
          </w:tcPr>
          <w:p>
            <w:pPr>
              <w:jc w:val="right"/>
              <w:ind w:right="152"/>
              <w:spacing w:after="0" w:line="141"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(2,617)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(7,306)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increase in other assets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(93,011)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(560,695)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(71,763)</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liabilities: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increase in interest payable</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1,480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3,556</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other liabilities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(93,923)</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(564,184)</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Investment to subsidiaries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(166,548)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(478,028)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(61,185)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(166,548)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(478,028)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(61,185)</w:t>
            </w:r>
          </w:p>
        </w:tc>
        <w:tc>
          <w:tcPr>
            <w:tcW w:w="0" w:type="dxa"/>
            <w:vAlign w:val="bottom"/>
          </w:tcPr>
          <w:p>
            <w:pPr>
              <w:spacing w:after="0"/>
              <w:rPr>
                <w:sz w:val="1"/>
                <w:szCs w:val="1"/>
                <w:color w:val="auto"/>
              </w:rPr>
            </w:pP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C preferred shares and Series C-1 preferred shares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620,625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700,000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89,597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Repayment of short-term borrowings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(38,401)</w:t>
            </w:r>
          </w:p>
        </w:tc>
        <w:tc>
          <w:tcPr>
            <w:tcW w:w="0" w:type="dxa"/>
            <w:vAlign w:val="bottom"/>
          </w:tcPr>
          <w:p>
            <w:pPr>
              <w:spacing w:after="0"/>
              <w:rPr>
                <w:sz w:val="1"/>
                <w:szCs w:val="1"/>
                <w:color w:val="auto"/>
              </w:rPr>
            </w:pPr>
          </w:p>
        </w:tc>
      </w:tr>
      <w:tr>
        <w:trPr>
          <w:trHeight w:val="229"/>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1,020,625</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(110,471)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(21,587)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140,304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29,833</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29,833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Accretion to preferred shares redemption value</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47,715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Issuance of Series C preferred shares from conversion of the convertible notes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32,345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C preferred shares from repayment of short-term borrowing</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153,896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19,698</w:t>
            </w:r>
          </w:p>
        </w:tc>
        <w:tc>
          <w:tcPr>
            <w:tcW w:w="0" w:type="dxa"/>
            <w:vAlign w:val="bottom"/>
          </w:tcPr>
          <w:p>
            <w:pPr>
              <w:spacing w:after="0"/>
              <w:rPr>
                <w:sz w:val="1"/>
                <w:szCs w:val="1"/>
                <w:color w:val="auto"/>
              </w:rPr>
            </w:pPr>
          </w:p>
        </w:tc>
      </w:tr>
      <w:tr>
        <w:trPr>
          <w:trHeight w:val="322"/>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Company’s accounting policies are the same as the Group’s accounting policies.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00"/>
          </w:cols>
          <w:pgMar w:left="240" w:top="458"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2979"/>
        <w:spacing w:after="0"/>
        <w:rPr>
          <w:sz w:val="20"/>
          <w:szCs w:val="20"/>
          <w:color w:val="auto"/>
        </w:rPr>
      </w:pPr>
      <w:r>
        <w:rPr>
          <w:rFonts w:ascii="Arial" w:cs="Arial" w:eastAsia="Arial" w:hAnsi="Arial"/>
          <w:sz w:val="18"/>
          <w:szCs w:val="18"/>
          <w:color w:val="auto"/>
        </w:rPr>
        <w:t>[Page intentionally left blank for graphics]</w:t>
      </w:r>
    </w:p>
    <w:p>
      <w:pPr>
        <w:sectPr>
          <w:pgSz w:w="11900" w:h="16838" w:orient="portrait"/>
          <w:cols w:equalWidth="0" w:num="1">
            <w:col w:w="10219"/>
          </w:cols>
          <w:pgMar w:left="240" w:top="458" w:right="1440"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19" w:lineRule="exact"/>
        <w:rPr>
          <w:sz w:val="20"/>
          <w:szCs w:val="20"/>
          <w:color w:val="auto"/>
        </w:rPr>
      </w:pPr>
    </w:p>
    <w:p>
      <w:pPr>
        <w:ind w:left="240" w:right="60" w:firstLine="438"/>
        <w:spacing w:after="0" w:line="268"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 Our post-offering amended and restated memorandum and articles of association provide that each officer or director of our company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184" w:lineRule="exact"/>
        <w:rPr>
          <w:sz w:val="20"/>
          <w:szCs w:val="20"/>
          <w:color w:val="auto"/>
        </w:rPr>
      </w:pPr>
    </w:p>
    <w:p>
      <w:pPr>
        <w:jc w:val="both"/>
        <w:ind w:left="240" w:right="200" w:firstLine="438"/>
        <w:spacing w:after="0" w:line="262" w:lineRule="auto"/>
        <w:rPr>
          <w:sz w:val="20"/>
          <w:szCs w:val="20"/>
          <w:color w:val="auto"/>
        </w:rPr>
      </w:pPr>
      <w:r>
        <w:rPr>
          <w:rFonts w:ascii="Arial" w:cs="Arial" w:eastAsia="Arial" w:hAnsi="Arial"/>
          <w:sz w:val="18"/>
          <w:szCs w:val="18"/>
          <w:color w:val="auto"/>
        </w:rPr>
        <w:t>Pursuant to the form of indemnification agreements filed as Exhibit 10.2 to this Registration Statement, we will agree to indemnify our directors and officers against certain liabilities and expenses that they incur in connection with claims made by reason of their being a director or officer of our company.</w:t>
      </w:r>
    </w:p>
    <w:p>
      <w:pPr>
        <w:spacing w:after="0" w:line="181" w:lineRule="exact"/>
        <w:rPr>
          <w:sz w:val="20"/>
          <w:szCs w:val="20"/>
          <w:color w:val="auto"/>
        </w:rPr>
      </w:pPr>
    </w:p>
    <w:p>
      <w:pPr>
        <w:jc w:val="both"/>
        <w:ind w:left="240" w:right="180" w:firstLine="438"/>
        <w:spacing w:after="0" w:line="275"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for indemnification of us and our officers and directors.</w:t>
      </w:r>
    </w:p>
    <w:p>
      <w:pPr>
        <w:spacing w:after="0" w:line="170" w:lineRule="exact"/>
        <w:rPr>
          <w:sz w:val="20"/>
          <w:szCs w:val="20"/>
          <w:color w:val="auto"/>
        </w:rPr>
      </w:pPr>
    </w:p>
    <w:p>
      <w:pPr>
        <w:ind w:left="240" w:right="60" w:firstLine="438"/>
        <w:spacing w:after="0" w:line="262"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19" w:lineRule="exact"/>
        <w:rPr>
          <w:sz w:val="20"/>
          <w:szCs w:val="20"/>
          <w:color w:val="auto"/>
        </w:rPr>
      </w:pPr>
    </w:p>
    <w:p>
      <w:pPr>
        <w:ind w:left="240" w:firstLine="438"/>
        <w:spacing w:after="0" w:line="257" w:lineRule="auto"/>
        <w:rPr>
          <w:sz w:val="20"/>
          <w:szCs w:val="20"/>
          <w:color w:val="auto"/>
        </w:rPr>
      </w:pPr>
      <w:r>
        <w:rPr>
          <w:rFonts w:ascii="Arial" w:cs="Arial" w:eastAsia="Arial" w:hAnsi="Arial"/>
          <w:sz w:val="18"/>
          <w:szCs w:val="18"/>
          <w:color w:val="auto"/>
        </w:rPr>
        <w:t>During the past three years, we have issued the following securities which were not registered under the Securities Act. We believe that each of the following issuance was exempt from registration under the Securities Act in reliance on Section 4(2)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88" w:lineRule="exact"/>
        <w:rPr>
          <w:sz w:val="20"/>
          <w:szCs w:val="20"/>
          <w:color w:val="auto"/>
        </w:rPr>
      </w:pPr>
    </w:p>
    <w:p>
      <w:pPr>
        <w:ind w:left="240" w:right="440" w:firstLine="438"/>
        <w:spacing w:after="0" w:line="262" w:lineRule="auto"/>
        <w:rPr>
          <w:sz w:val="20"/>
          <w:szCs w:val="20"/>
          <w:color w:val="auto"/>
        </w:rPr>
      </w:pPr>
      <w:r>
        <w:rPr>
          <w:rFonts w:ascii="Arial" w:cs="Arial" w:eastAsia="Arial" w:hAnsi="Arial"/>
          <w:sz w:val="18"/>
          <w:szCs w:val="18"/>
          <w:color w:val="auto"/>
        </w:rPr>
        <w:t>On September 22, 2016, we effected a 1 to 500 share split, following which each of our previously issued ordinary shares, Series A preferred shares, Series A-1 preferred shares and Series B preferred shares was subdivided into 500 ordinary shares, Series A preferred shares, Series A-1 preferred shares and Series B preferred shares, respectively.</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 of</w:t>
            </w: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Title and Number</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57"/>
        </w:trPr>
        <w:tc>
          <w:tcPr>
            <w:tcW w:w="6120" w:type="dxa"/>
            <w:vAlign w:val="bottom"/>
            <w:gridSpan w:val="2"/>
            <w:vMerge w:val="continue"/>
          </w:tcPr>
          <w:p>
            <w:pPr>
              <w:spacing w:after="0"/>
              <w:rPr>
                <w:sz w:val="13"/>
                <w:szCs w:val="13"/>
                <w:color w:val="auto"/>
              </w:rPr>
            </w:pPr>
          </w:p>
        </w:tc>
        <w:tc>
          <w:tcPr>
            <w:tcW w:w="15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86"/>
              </w:rPr>
              <w:t>Issuance</w:t>
            </w:r>
          </w:p>
        </w:tc>
        <w:tc>
          <w:tcPr>
            <w:tcW w:w="18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of Securities</w:t>
            </w: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2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rPr>
              <w:t>Qiantang River Investment Limited</w:t>
            </w:r>
          </w:p>
        </w:tc>
        <w:tc>
          <w:tcPr>
            <w:tcW w:w="128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91"/>
              </w:rPr>
              <w:t>May 27, 2015</w:t>
            </w: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8"/>
              </w:rPr>
              <w:t>160,715 Series B</w:t>
            </w: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9"/>
              </w:rPr>
              <w:t>US$27,263,339</w:t>
            </w:r>
          </w:p>
        </w:tc>
        <w:tc>
          <w:tcPr>
            <w:tcW w:w="0" w:type="dxa"/>
            <w:vAlign w:val="bottom"/>
          </w:tcPr>
          <w:p>
            <w:pPr>
              <w:spacing w:after="0"/>
              <w:rPr>
                <w:sz w:val="1"/>
                <w:szCs w:val="1"/>
                <w:color w:val="auto"/>
              </w:rPr>
            </w:pPr>
          </w:p>
        </w:tc>
      </w:tr>
      <w:tr>
        <w:trPr>
          <w:trHeight w:val="215"/>
        </w:trPr>
        <w:tc>
          <w:tcPr>
            <w:tcW w:w="6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preferred</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 w:type="dxa"/>
            <w:vAlign w:val="bottom"/>
            <w:shd w:val="clear" w:color="auto" w:fill="CCEEFF"/>
          </w:tcPr>
          <w:p>
            <w:pPr>
              <w:spacing w:after="0"/>
              <w:rPr>
                <w:sz w:val="19"/>
                <w:szCs w:val="19"/>
                <w:color w:val="auto"/>
              </w:rPr>
            </w:pPr>
          </w:p>
        </w:tc>
        <w:tc>
          <w:tcPr>
            <w:tcW w:w="5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5"/>
              </w:rPr>
              <w:t>shares</w:t>
            </w:r>
            <w:r>
              <w:rPr>
                <w:rFonts w:ascii="Arial" w:cs="Arial" w:eastAsia="Arial" w:hAnsi="Arial"/>
                <w:sz w:val="15"/>
                <w:szCs w:val="15"/>
                <w:color w:val="auto"/>
                <w:w w:val="85"/>
              </w:rPr>
              <w:t>(1)</w:t>
            </w: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6120" w:type="dxa"/>
            <w:vAlign w:val="bottom"/>
            <w:gridSpan w:val="2"/>
          </w:tcPr>
          <w:p>
            <w:pPr>
              <w:spacing w:after="0"/>
              <w:rPr>
                <w:sz w:val="20"/>
                <w:szCs w:val="20"/>
                <w:color w:val="auto"/>
              </w:rPr>
            </w:pPr>
            <w:r>
              <w:rPr>
                <w:rFonts w:ascii="Arial" w:cs="Arial" w:eastAsia="Arial" w:hAnsi="Arial"/>
                <w:sz w:val="18"/>
                <w:szCs w:val="18"/>
                <w:color w:val="auto"/>
              </w:rPr>
              <w:t>Matrix Partners China III Hong Kong Limited</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27, 2015</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9,740 Series B</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US$1,652,324</w:t>
            </w: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preferred</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shares</w:t>
            </w:r>
            <w:r>
              <w:rPr>
                <w:rFonts w:ascii="Arial" w:cs="Arial" w:eastAsia="Arial" w:hAnsi="Arial"/>
                <w:sz w:val="15"/>
                <w:szCs w:val="15"/>
                <w:color w:val="auto"/>
                <w:w w:val="85"/>
              </w:rPr>
              <w:t>(1)</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58"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Purchaser</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 of</w:t>
            </w: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Title and Number of</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57"/>
        </w:trPr>
        <w:tc>
          <w:tcPr>
            <w:tcW w:w="5800" w:type="dxa"/>
            <w:vAlign w:val="bottom"/>
            <w:gridSpan w:val="3"/>
            <w:vMerge w:val="continue"/>
          </w:tcPr>
          <w:p>
            <w:pPr>
              <w:spacing w:after="0"/>
              <w:rPr>
                <w:sz w:val="13"/>
                <w:szCs w:val="13"/>
                <w:color w:val="auto"/>
              </w:rPr>
            </w:pPr>
          </w:p>
        </w:tc>
        <w:tc>
          <w:tcPr>
            <w:tcW w:w="146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86"/>
              </w:rPr>
              <w:t>Issuance</w:t>
            </w:r>
          </w:p>
        </w:tc>
        <w:tc>
          <w:tcPr>
            <w:tcW w:w="216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Securities</w:t>
            </w: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78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rPr>
              <w:t>Sequoia Capital CV IV Holdco, Ltd.</w:t>
            </w:r>
          </w:p>
        </w:tc>
        <w:tc>
          <w:tcPr>
            <w:tcW w:w="12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91"/>
              </w:rPr>
              <w:t>May 27, 2015</w:t>
            </w: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9"/>
              </w:rPr>
              <w:t>6,392 Series B</w:t>
            </w: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8" w:lineRule="exact"/>
              <w:rPr>
                <w:sz w:val="20"/>
                <w:szCs w:val="20"/>
                <w:color w:val="auto"/>
              </w:rPr>
            </w:pPr>
            <w:r>
              <w:rPr>
                <w:rFonts w:ascii="Arial" w:cs="Arial" w:eastAsia="Arial" w:hAnsi="Arial"/>
                <w:sz w:val="18"/>
                <w:szCs w:val="18"/>
                <w:color w:val="auto"/>
                <w:w w:val="88"/>
              </w:rPr>
              <w:t>US$1,084,337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preferred shares</w:t>
            </w:r>
            <w:r>
              <w:rPr>
                <w:rFonts w:ascii="Arial" w:cs="Arial" w:eastAsia="Arial" w:hAnsi="Arial"/>
                <w:sz w:val="15"/>
                <w:szCs w:val="15"/>
                <w:color w:val="auto"/>
                <w:w w:val="87"/>
              </w:rPr>
              <w:t>(1)</w:t>
            </w: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5800" w:type="dxa"/>
            <w:vAlign w:val="bottom"/>
            <w:gridSpan w:val="3"/>
          </w:tcPr>
          <w:p>
            <w:pPr>
              <w:spacing w:after="0"/>
              <w:rPr>
                <w:sz w:val="20"/>
                <w:szCs w:val="20"/>
                <w:color w:val="auto"/>
              </w:rPr>
            </w:pPr>
            <w:r>
              <w:rPr>
                <w:rFonts w:ascii="Arial" w:cs="Arial" w:eastAsia="Arial" w:hAnsi="Arial"/>
                <w:sz w:val="18"/>
                <w:szCs w:val="18"/>
                <w:color w:val="auto"/>
              </w:rPr>
              <w:t>Image Frame Investment (HK) Limited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22, 2017</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128,844,812 Series C</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US$91,362,437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preferred shares</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Matrix Partners China III Hong Kong Limited</w:t>
            </w:r>
          </w:p>
        </w:tc>
        <w:tc>
          <w:tcPr>
            <w:tcW w:w="14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May 22, 2017</w:t>
            </w:r>
          </w:p>
        </w:tc>
        <w:tc>
          <w:tcPr>
            <w:tcW w:w="21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7,381,311 Series C-1</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US$7,613,100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preferred shares</w:t>
            </w: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5800" w:type="dxa"/>
            <w:vAlign w:val="bottom"/>
            <w:gridSpan w:val="3"/>
          </w:tcPr>
          <w:p>
            <w:pPr>
              <w:spacing w:after="0"/>
              <w:rPr>
                <w:sz w:val="20"/>
                <w:szCs w:val="20"/>
                <w:color w:val="auto"/>
              </w:rPr>
            </w:pPr>
            <w:r>
              <w:rPr>
                <w:rFonts w:ascii="Arial" w:cs="Arial" w:eastAsia="Arial" w:hAnsi="Arial"/>
                <w:sz w:val="18"/>
                <w:szCs w:val="18"/>
                <w:color w:val="auto"/>
              </w:rPr>
              <w:t>SCC Venture VI Holdco, Ltd.</w:t>
            </w:r>
            <w:r>
              <w:rPr>
                <w:rFonts w:ascii="Arial" w:cs="Arial" w:eastAsia="Arial" w:hAnsi="Arial"/>
                <w:sz w:val="15"/>
                <w:szCs w:val="15"/>
                <w:color w:val="auto"/>
              </w:rPr>
              <w:t>(2)</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22, 2017</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4,843,971 Series C-1</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US$4,996,082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preferred shares</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Notes:</w:t>
      </w:r>
    </w:p>
    <w:p>
      <w:pPr>
        <w:spacing w:after="0" w:line="22" w:lineRule="exact"/>
        <w:rPr>
          <w:sz w:val="20"/>
          <w:szCs w:val="20"/>
          <w:color w:val="auto"/>
        </w:rPr>
      </w:pPr>
    </w:p>
    <w:p>
      <w:pPr>
        <w:ind w:left="660" w:hanging="424"/>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numbers have not been adjusted to reflect the share split effective on September 22, 2016.</w:t>
      </w:r>
    </w:p>
    <w:p>
      <w:pPr>
        <w:spacing w:after="0" w:line="7" w:lineRule="exact"/>
        <w:rPr>
          <w:rFonts w:ascii="Arial" w:cs="Arial" w:eastAsia="Arial" w:hAnsi="Arial"/>
          <w:sz w:val="18"/>
          <w:szCs w:val="18"/>
          <w:color w:val="auto"/>
        </w:rPr>
      </w:pPr>
    </w:p>
    <w:p>
      <w:pPr>
        <w:ind w:left="660" w:hanging="424"/>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Affiliate of Sequoia Capital CV IV Holdco, Ltd.</w:t>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Exhibit Index beginning on page II-3 of this registration statement.</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Financial Statement Schedules</w:t>
      </w:r>
    </w:p>
    <w:p>
      <w:pPr>
        <w:spacing w:after="0" w:line="115" w:lineRule="exact"/>
        <w:rPr>
          <w:sz w:val="20"/>
          <w:szCs w:val="20"/>
          <w:color w:val="auto"/>
        </w:rPr>
      </w:pPr>
    </w:p>
    <w:p>
      <w:pPr>
        <w:ind w:left="240" w:right="220" w:firstLine="438"/>
        <w:spacing w:after="0" w:line="275"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9. UNDERTAKINGS.</w:t>
      </w:r>
    </w:p>
    <w:p>
      <w:pPr>
        <w:spacing w:after="0" w:line="119" w:lineRule="exact"/>
        <w:rPr>
          <w:sz w:val="20"/>
          <w:szCs w:val="20"/>
          <w:color w:val="auto"/>
        </w:rPr>
      </w:pPr>
    </w:p>
    <w:p>
      <w:pPr>
        <w:ind w:left="240" w:right="140" w:firstLine="438"/>
        <w:spacing w:after="0" w:line="305" w:lineRule="auto"/>
        <w:rPr>
          <w:sz w:val="20"/>
          <w:szCs w:val="20"/>
          <w:color w:val="auto"/>
        </w:rPr>
      </w:pPr>
      <w:r>
        <w:rPr>
          <w:rFonts w:ascii="Arial" w:cs="Arial" w:eastAsia="Arial" w:hAnsi="Arial"/>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8" w:lineRule="exact"/>
        <w:rPr>
          <w:sz w:val="20"/>
          <w:szCs w:val="20"/>
          <w:color w:val="auto"/>
        </w:rPr>
      </w:pPr>
    </w:p>
    <w:p>
      <w:pPr>
        <w:ind w:left="240" w:right="120" w:firstLine="438"/>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undersigned registrant hereby undertakes that:</w:t>
      </w:r>
    </w:p>
    <w:p>
      <w:pPr>
        <w:spacing w:after="0" w:line="129" w:lineRule="exact"/>
        <w:rPr>
          <w:sz w:val="20"/>
          <w:szCs w:val="20"/>
          <w:color w:val="auto"/>
        </w:rPr>
      </w:pPr>
    </w:p>
    <w:p>
      <w:pPr>
        <w:ind w:left="1100" w:right="160" w:hanging="435"/>
        <w:spacing w:after="0" w:line="289" w:lineRule="auto"/>
        <w:tabs>
          <w:tab w:leader="none" w:pos="11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w:t>
      </w:r>
    </w:p>
    <w:p>
      <w:pPr>
        <w:spacing w:after="0" w:line="1"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5" w:lineRule="exact"/>
        <w:rPr>
          <w:rFonts w:ascii="Arial" w:cs="Arial" w:eastAsia="Arial" w:hAnsi="Arial"/>
          <w:sz w:val="16"/>
          <w:szCs w:val="16"/>
          <w:color w:val="auto"/>
        </w:rPr>
      </w:pPr>
    </w:p>
    <w:p>
      <w:pPr>
        <w:jc w:val="both"/>
        <w:ind w:left="1100" w:right="20" w:hanging="435"/>
        <w:spacing w:after="0" w:line="262" w:lineRule="auto"/>
        <w:tabs>
          <w:tab w:leader="none" w:pos="11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8"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4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48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rPr>
              <w:t>FUTU HOLDINGS LIMITED</w:t>
            </w:r>
          </w:p>
        </w:tc>
      </w:tr>
      <w:tr>
        <w:trPr>
          <w:trHeight w:val="430"/>
        </w:trPr>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8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rPr>
              <w:t>EXHIBIT INDEX</w:t>
            </w:r>
          </w:p>
        </w:tc>
      </w:tr>
      <w:tr>
        <w:trPr>
          <w:trHeight w:val="370"/>
        </w:trPr>
        <w:tc>
          <w:tcPr>
            <w:tcW w:w="460" w:type="dxa"/>
            <w:vAlign w:val="bottom"/>
          </w:tcPr>
          <w:p>
            <w:pPr>
              <w:ind w:left="20"/>
              <w:spacing w:after="0"/>
              <w:rPr>
                <w:sz w:val="20"/>
                <w:szCs w:val="20"/>
                <w:color w:val="auto"/>
              </w:rPr>
            </w:pPr>
            <w:r>
              <w:rPr>
                <w:rFonts w:ascii="Arial" w:cs="Arial" w:eastAsia="Arial" w:hAnsi="Arial"/>
                <w:sz w:val="14"/>
                <w:szCs w:val="14"/>
                <w:color w:val="auto"/>
                <w:w w:val="99"/>
              </w:rPr>
              <w:t>Exhibit</w:t>
            </w:r>
          </w:p>
        </w:tc>
        <w:tc>
          <w:tcPr>
            <w:tcW w:w="2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66"/>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Number</w:t>
            </w:r>
          </w:p>
        </w:tc>
        <w:tc>
          <w:tcPr>
            <w:tcW w:w="2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Description of Document</w:t>
            </w:r>
          </w:p>
        </w:tc>
        <w:tc>
          <w:tcPr>
            <w:tcW w:w="412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Form of Underwriting Agreement</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Third Amended and Restated Memorandum and Articles of Association of the Registrant, as currently in effect</w:t>
            </w:r>
          </w:p>
        </w:tc>
      </w:tr>
      <w:tr>
        <w:trPr>
          <w:trHeight w:val="308"/>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1"/>
              </w:rPr>
              <w:t>Form of Second Amended and Restated Memorandum and Articles of Association of the Registrant, as effective upon the completion</w:t>
            </w:r>
          </w:p>
        </w:tc>
      </w:tr>
      <w:tr>
        <w:trPr>
          <w:trHeight w:val="229"/>
        </w:trPr>
        <w:tc>
          <w:tcPr>
            <w:tcW w:w="460" w:type="dxa"/>
            <w:vAlign w:val="bottom"/>
          </w:tcPr>
          <w:p>
            <w:pPr>
              <w:spacing w:after="0"/>
              <w:rPr>
                <w:sz w:val="19"/>
                <w:szCs w:val="19"/>
                <w:color w:val="auto"/>
              </w:rPr>
            </w:pPr>
          </w:p>
        </w:tc>
        <w:tc>
          <w:tcPr>
            <w:tcW w:w="2000" w:type="dxa"/>
            <w:vAlign w:val="bottom"/>
          </w:tcPr>
          <w:p>
            <w:pPr>
              <w:ind w:left="760"/>
              <w:spacing w:after="0"/>
              <w:rPr>
                <w:sz w:val="20"/>
                <w:szCs w:val="20"/>
                <w:color w:val="auto"/>
              </w:rPr>
            </w:pPr>
            <w:r>
              <w:rPr>
                <w:rFonts w:ascii="Arial" w:cs="Arial" w:eastAsia="Arial" w:hAnsi="Arial"/>
                <w:sz w:val="18"/>
                <w:szCs w:val="18"/>
                <w:color w:val="auto"/>
              </w:rPr>
              <w:t>of this offering</w:t>
            </w:r>
          </w:p>
        </w:tc>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Registrant’s Specimen American Depositary Receipt (included in Exhibit 4.3)</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Registrant’s Specimen Certificate for ordinary shares</w:t>
            </w:r>
          </w:p>
        </w:tc>
      </w:tr>
      <w:tr>
        <w:trPr>
          <w:trHeight w:val="308"/>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5"/>
              </w:rPr>
              <w:t>Form of Deposit Agreement, among the Registrant, the depositary and holder and beneficial owners of the American Depositary</w:t>
            </w:r>
          </w:p>
        </w:tc>
      </w:tr>
      <w:tr>
        <w:trPr>
          <w:trHeight w:val="229"/>
        </w:trPr>
        <w:tc>
          <w:tcPr>
            <w:tcW w:w="460" w:type="dxa"/>
            <w:vAlign w:val="bottom"/>
          </w:tcPr>
          <w:p>
            <w:pPr>
              <w:spacing w:after="0"/>
              <w:rPr>
                <w:sz w:val="19"/>
                <w:szCs w:val="19"/>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Receipts issued thereunder</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4.4*</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5"/>
              </w:rPr>
              <w:t>Second Amended and Restated Shareholders Agreement between the Registrant and other parties thereto dated May 22, 2017</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2000" w:type="dxa"/>
            <w:vAlign w:val="bottom"/>
          </w:tcPr>
          <w:p>
            <w:pPr>
              <w:ind w:left="760"/>
              <w:spacing w:after="0"/>
              <w:rPr>
                <w:sz w:val="20"/>
                <w:szCs w:val="20"/>
                <w:color w:val="auto"/>
              </w:rPr>
            </w:pPr>
            <w:r>
              <w:rPr>
                <w:rFonts w:ascii="Arial" w:cs="Arial" w:eastAsia="Arial" w:hAnsi="Arial"/>
                <w:sz w:val="18"/>
                <w:szCs w:val="18"/>
                <w:color w:val="auto"/>
              </w:rPr>
              <w:t>Opinion of</w:t>
            </w:r>
          </w:p>
        </w:tc>
        <w:tc>
          <w:tcPr>
            <w:tcW w:w="8480" w:type="dxa"/>
            <w:vAlign w:val="bottom"/>
            <w:gridSpan w:val="3"/>
          </w:tcPr>
          <w:p>
            <w:pPr>
              <w:ind w:left="160"/>
              <w:spacing w:after="0"/>
              <w:rPr>
                <w:sz w:val="20"/>
                <w:szCs w:val="20"/>
                <w:color w:val="auto"/>
              </w:rPr>
            </w:pPr>
            <w:r>
              <w:rPr>
                <w:rFonts w:ascii="Arial" w:cs="Arial" w:eastAsia="Arial" w:hAnsi="Arial"/>
                <w:sz w:val="18"/>
                <w:szCs w:val="18"/>
                <w:color w:val="auto"/>
              </w:rPr>
              <w:t>regarding the validity of the ordinary shares being registered and certain Cayman Islands tax matters</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8.1*</w:t>
            </w:r>
          </w:p>
        </w:tc>
        <w:tc>
          <w:tcPr>
            <w:tcW w:w="2000" w:type="dxa"/>
            <w:vAlign w:val="bottom"/>
          </w:tcPr>
          <w:p>
            <w:pPr>
              <w:ind w:left="760"/>
              <w:spacing w:after="0"/>
              <w:rPr>
                <w:sz w:val="20"/>
                <w:szCs w:val="20"/>
                <w:color w:val="auto"/>
              </w:rPr>
            </w:pPr>
            <w:r>
              <w:rPr>
                <w:rFonts w:ascii="Arial" w:cs="Arial" w:eastAsia="Arial" w:hAnsi="Arial"/>
                <w:sz w:val="18"/>
                <w:szCs w:val="18"/>
                <w:color w:val="auto"/>
              </w:rPr>
              <w:t>Opinion of</w:t>
            </w:r>
          </w:p>
        </w:tc>
        <w:tc>
          <w:tcPr>
            <w:tcW w:w="8480" w:type="dxa"/>
            <w:vAlign w:val="bottom"/>
            <w:gridSpan w:val="3"/>
          </w:tcPr>
          <w:p>
            <w:pPr>
              <w:ind w:left="160"/>
              <w:spacing w:after="0"/>
              <w:rPr>
                <w:sz w:val="20"/>
                <w:szCs w:val="20"/>
                <w:color w:val="auto"/>
              </w:rPr>
            </w:pPr>
            <w:r>
              <w:rPr>
                <w:rFonts w:ascii="Arial" w:cs="Arial" w:eastAsia="Arial" w:hAnsi="Arial"/>
                <w:sz w:val="18"/>
                <w:szCs w:val="18"/>
                <w:color w:val="auto"/>
              </w:rPr>
              <w:t>regarding certain Cayman Islands tax matters (included in Exhibit 5.1)</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8.2*</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Opinion of CM Law Firm regarding certain PRC tax matters (included in Exhibit 99.2)</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2014 Share Incentive Plan</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Form of Indemnification Agreement between the Registrant and its directors and executive officers</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Form of Employment Agreement between the Registrant and its executive officer</w:t>
            </w:r>
          </w:p>
        </w:tc>
      </w:tr>
      <w:tr>
        <w:trPr>
          <w:trHeight w:val="308"/>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1"/>
              </w:rPr>
              <w:t>English translation of the executed form of the amended and restated shareholders’ voting rights proxy agreement among a WFOE of</w:t>
            </w:r>
          </w:p>
        </w:tc>
      </w:tr>
      <w:tr>
        <w:trPr>
          <w:trHeight w:val="215"/>
        </w:trPr>
        <w:tc>
          <w:tcPr>
            <w:tcW w:w="460" w:type="dxa"/>
            <w:vAlign w:val="bottom"/>
          </w:tcPr>
          <w:p>
            <w:pPr>
              <w:spacing w:after="0"/>
              <w:rPr>
                <w:sz w:val="18"/>
                <w:szCs w:val="18"/>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1"/>
              </w:rPr>
              <w:t>the Registrant, a VIE of the Registrant and its shareholders, as currently in effect, and a schedule of all executed shareholders’ voting</w:t>
            </w:r>
          </w:p>
        </w:tc>
      </w:tr>
      <w:tr>
        <w:trPr>
          <w:trHeight w:val="229"/>
        </w:trPr>
        <w:tc>
          <w:tcPr>
            <w:tcW w:w="460" w:type="dxa"/>
            <w:vAlign w:val="bottom"/>
          </w:tcPr>
          <w:p>
            <w:pPr>
              <w:spacing w:after="0"/>
              <w:rPr>
                <w:sz w:val="19"/>
                <w:szCs w:val="19"/>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rights proxy agreements adopting the same form in respect of a VIE of the Registrant</w:t>
            </w:r>
          </w:p>
        </w:tc>
      </w:tr>
      <w:tr>
        <w:trPr>
          <w:trHeight w:val="308"/>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0"/>
              </w:rPr>
              <w:t>English translation of the executed form of the business operation agreement among a WFOE of the Registrant, a VIE of the Registrant</w:t>
            </w:r>
          </w:p>
        </w:tc>
      </w:tr>
      <w:tr>
        <w:trPr>
          <w:trHeight w:val="215"/>
        </w:trPr>
        <w:tc>
          <w:tcPr>
            <w:tcW w:w="460" w:type="dxa"/>
            <w:vAlign w:val="bottom"/>
          </w:tcPr>
          <w:p>
            <w:pPr>
              <w:spacing w:after="0"/>
              <w:rPr>
                <w:sz w:val="18"/>
                <w:szCs w:val="18"/>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2"/>
              </w:rPr>
              <w:t>and its shareholders, as currently in effect, and a schedule of all executed business operation agreement adopting the same form in</w:t>
            </w:r>
          </w:p>
        </w:tc>
      </w:tr>
      <w:tr>
        <w:trPr>
          <w:trHeight w:val="229"/>
        </w:trPr>
        <w:tc>
          <w:tcPr>
            <w:tcW w:w="460" w:type="dxa"/>
            <w:vAlign w:val="bottom"/>
          </w:tcPr>
          <w:p>
            <w:pPr>
              <w:spacing w:after="0"/>
              <w:rPr>
                <w:sz w:val="19"/>
                <w:szCs w:val="19"/>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respect of a VIE of the Registrant</w:t>
            </w:r>
          </w:p>
        </w:tc>
      </w:tr>
      <w:tr>
        <w:trPr>
          <w:trHeight w:val="308"/>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6"/>
              </w:rPr>
              <w:t>English translation of the executed form of the equity interest pledge agreement among a WFOE of the Registrant, a VIE of the</w:t>
            </w:r>
          </w:p>
        </w:tc>
      </w:tr>
      <w:tr>
        <w:trPr>
          <w:trHeight w:val="215"/>
        </w:trPr>
        <w:tc>
          <w:tcPr>
            <w:tcW w:w="460" w:type="dxa"/>
            <w:vAlign w:val="bottom"/>
          </w:tcPr>
          <w:p>
            <w:pPr>
              <w:spacing w:after="0"/>
              <w:rPr>
                <w:sz w:val="18"/>
                <w:szCs w:val="18"/>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88"/>
              </w:rPr>
              <w:t>Registrant and its shareholders, as currently in effect, and a schedule of all executed equity interest pledge agreement adopting the same</w:t>
            </w:r>
          </w:p>
        </w:tc>
      </w:tr>
      <w:tr>
        <w:trPr>
          <w:trHeight w:val="229"/>
        </w:trPr>
        <w:tc>
          <w:tcPr>
            <w:tcW w:w="460" w:type="dxa"/>
            <w:vAlign w:val="bottom"/>
          </w:tcPr>
          <w:p>
            <w:pPr>
              <w:spacing w:after="0"/>
              <w:rPr>
                <w:sz w:val="19"/>
                <w:szCs w:val="19"/>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form in respect of a VIE of the Registrant</w:t>
            </w:r>
          </w:p>
        </w:tc>
      </w:tr>
      <w:tr>
        <w:trPr>
          <w:trHeight w:val="308"/>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6"/>
              </w:rPr>
              <w:t>English translation of the executed form of the exclusive technology consulting and services agreement among a WFOE of the</w:t>
            </w:r>
          </w:p>
        </w:tc>
      </w:tr>
      <w:tr>
        <w:trPr>
          <w:trHeight w:val="215"/>
        </w:trPr>
        <w:tc>
          <w:tcPr>
            <w:tcW w:w="460" w:type="dxa"/>
            <w:vAlign w:val="bottom"/>
          </w:tcPr>
          <w:p>
            <w:pPr>
              <w:spacing w:after="0"/>
              <w:rPr>
                <w:sz w:val="18"/>
                <w:szCs w:val="18"/>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5"/>
              </w:rPr>
              <w:t>Registrant and a VIE of the Registrant, as currently in effect, and a schedule of all executed exclusive technology consulting and</w:t>
            </w:r>
          </w:p>
        </w:tc>
      </w:tr>
      <w:tr>
        <w:trPr>
          <w:trHeight w:val="229"/>
        </w:trPr>
        <w:tc>
          <w:tcPr>
            <w:tcW w:w="460" w:type="dxa"/>
            <w:vAlign w:val="bottom"/>
          </w:tcPr>
          <w:p>
            <w:pPr>
              <w:spacing w:after="0"/>
              <w:rPr>
                <w:sz w:val="19"/>
                <w:szCs w:val="19"/>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services agreement adopting the same form in respect of a VIE of the Registrant</w:t>
            </w:r>
          </w:p>
        </w:tc>
      </w:tr>
      <w:tr>
        <w:trPr>
          <w:trHeight w:val="308"/>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0"/>
              </w:rPr>
              <w:t>English translation of the executed form of the amended and restated exclusive option agreement among a WFOE of the Registrant, a</w:t>
            </w:r>
          </w:p>
        </w:tc>
      </w:tr>
      <w:tr>
        <w:trPr>
          <w:trHeight w:val="215"/>
        </w:trPr>
        <w:tc>
          <w:tcPr>
            <w:tcW w:w="460" w:type="dxa"/>
            <w:vAlign w:val="bottom"/>
          </w:tcPr>
          <w:p>
            <w:pPr>
              <w:spacing w:after="0"/>
              <w:rPr>
                <w:sz w:val="18"/>
                <w:szCs w:val="18"/>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w w:val="91"/>
              </w:rPr>
              <w:t>VIE of the Registrant and its shareholders, as currently in effect, and a schedule of all executed exclusive option agreement adopting</w:t>
            </w:r>
          </w:p>
        </w:tc>
      </w:tr>
      <w:tr>
        <w:trPr>
          <w:trHeight w:val="229"/>
        </w:trPr>
        <w:tc>
          <w:tcPr>
            <w:tcW w:w="460" w:type="dxa"/>
            <w:vAlign w:val="bottom"/>
          </w:tcPr>
          <w:p>
            <w:pPr>
              <w:spacing w:after="0"/>
              <w:rPr>
                <w:sz w:val="19"/>
                <w:szCs w:val="19"/>
                <w:color w:val="auto"/>
              </w:rPr>
            </w:pPr>
          </w:p>
        </w:tc>
        <w:tc>
          <w:tcPr>
            <w:tcW w:w="10480" w:type="dxa"/>
            <w:vAlign w:val="bottom"/>
            <w:gridSpan w:val="4"/>
          </w:tcPr>
          <w:p>
            <w:pPr>
              <w:ind w:left="760"/>
              <w:spacing w:after="0"/>
              <w:rPr>
                <w:sz w:val="20"/>
                <w:szCs w:val="20"/>
                <w:color w:val="auto"/>
              </w:rPr>
            </w:pPr>
            <w:r>
              <w:rPr>
                <w:rFonts w:ascii="Arial" w:cs="Arial" w:eastAsia="Arial" w:hAnsi="Arial"/>
                <w:sz w:val="18"/>
                <w:szCs w:val="18"/>
                <w:color w:val="auto"/>
              </w:rPr>
              <w:t>the same form in respect of a VIE of the Registrant</w:t>
            </w:r>
          </w:p>
        </w:tc>
      </w:tr>
    </w:tbl>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240" w:top="458"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color w:val="auto"/>
                <w:w w:val="99"/>
              </w:rPr>
              <w:t>Exhibit</w:t>
            </w: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6"/>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Number</w:t>
            </w: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Description of Document</w:t>
            </w:r>
          </w:p>
        </w:tc>
        <w:tc>
          <w:tcPr>
            <w:tcW w:w="2740" w:type="dxa"/>
            <w:vAlign w:val="bottom"/>
          </w:tcPr>
          <w:p>
            <w:pPr>
              <w:spacing w:after="0"/>
              <w:rPr>
                <w:sz w:val="14"/>
                <w:szCs w:val="14"/>
                <w:color w:val="auto"/>
              </w:rPr>
            </w:pPr>
          </w:p>
        </w:tc>
      </w:tr>
      <w:tr>
        <w:trPr>
          <w:trHeight w:val="437"/>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24"/>
                <w:szCs w:val="24"/>
                <w:color w:val="auto"/>
              </w:rPr>
            </w:pPr>
          </w:p>
        </w:tc>
        <w:tc>
          <w:tcPr>
            <w:tcW w:w="8460" w:type="dxa"/>
            <w:vAlign w:val="bottom"/>
            <w:gridSpan w:val="4"/>
          </w:tcPr>
          <w:p>
            <w:pPr>
              <w:ind w:left="120"/>
              <w:spacing w:after="0"/>
              <w:rPr>
                <w:sz w:val="20"/>
                <w:szCs w:val="20"/>
                <w:color w:val="auto"/>
              </w:rPr>
            </w:pPr>
            <w:r>
              <w:rPr>
                <w:rFonts w:ascii="Arial" w:cs="Arial" w:eastAsia="Arial" w:hAnsi="Arial"/>
                <w:sz w:val="18"/>
                <w:szCs w:val="18"/>
                <w:color w:val="auto"/>
                <w:w w:val="87"/>
              </w:rPr>
              <w:t>Series C Preferred Shares Purchase Agreement between the Registrant and other parties thereto, dated May 22, 2017</w:t>
            </w:r>
          </w:p>
        </w:tc>
      </w:tr>
      <w:tr>
        <w:trPr>
          <w:trHeight w:val="336"/>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24"/>
                <w:szCs w:val="24"/>
                <w:color w:val="auto"/>
              </w:rPr>
            </w:pPr>
          </w:p>
        </w:tc>
        <w:tc>
          <w:tcPr>
            <w:tcW w:w="8460" w:type="dxa"/>
            <w:vAlign w:val="bottom"/>
            <w:gridSpan w:val="4"/>
          </w:tcPr>
          <w:p>
            <w:pPr>
              <w:ind w:left="120"/>
              <w:spacing w:after="0"/>
              <w:rPr>
                <w:sz w:val="20"/>
                <w:szCs w:val="20"/>
                <w:color w:val="auto"/>
              </w:rPr>
            </w:pPr>
            <w:r>
              <w:rPr>
                <w:rFonts w:ascii="Arial" w:cs="Arial" w:eastAsia="Arial" w:hAnsi="Arial"/>
                <w:sz w:val="18"/>
                <w:szCs w:val="18"/>
                <w:color w:val="auto"/>
              </w:rPr>
              <w:t>Principal subsidiaries and consolidated affiliated entities of the Registrant</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8460" w:type="dxa"/>
            <w:vAlign w:val="bottom"/>
            <w:gridSpan w:val="4"/>
          </w:tcPr>
          <w:p>
            <w:pPr>
              <w:ind w:left="120"/>
              <w:spacing w:after="0"/>
              <w:rPr>
                <w:sz w:val="20"/>
                <w:szCs w:val="20"/>
                <w:color w:val="auto"/>
              </w:rPr>
            </w:pPr>
            <w:r>
              <w:rPr>
                <w:rFonts w:ascii="Arial" w:cs="Arial" w:eastAsia="Arial" w:hAnsi="Arial"/>
                <w:sz w:val="18"/>
                <w:szCs w:val="18"/>
                <w:color w:val="auto"/>
                <w:w w:val="98"/>
              </w:rPr>
              <w:t>Consent of PricewaterhouseCoopers Zhong Tian LLP, an independent Registered Public Accounting Firm</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Arial" w:cs="Arial" w:eastAsia="Arial" w:hAnsi="Arial"/>
                <w:sz w:val="18"/>
                <w:szCs w:val="18"/>
                <w:color w:val="auto"/>
              </w:rPr>
              <w:t>Consent of</w:t>
            </w:r>
          </w:p>
        </w:tc>
        <w:tc>
          <w:tcPr>
            <w:tcW w:w="7180" w:type="dxa"/>
            <w:vAlign w:val="bottom"/>
            <w:gridSpan w:val="3"/>
          </w:tcPr>
          <w:p>
            <w:pPr>
              <w:ind w:left="240"/>
              <w:spacing w:after="0"/>
              <w:rPr>
                <w:sz w:val="20"/>
                <w:szCs w:val="20"/>
                <w:color w:val="auto"/>
              </w:rPr>
            </w:pPr>
            <w:r>
              <w:rPr>
                <w:rFonts w:ascii="Arial" w:cs="Arial" w:eastAsia="Arial" w:hAnsi="Arial"/>
                <w:sz w:val="18"/>
                <w:szCs w:val="18"/>
                <w:color w:val="auto"/>
              </w:rPr>
              <w:t>(included in Exhibit 5.1)</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640" w:type="dxa"/>
            <w:vAlign w:val="bottom"/>
          </w:tcPr>
          <w:p>
            <w:pPr>
              <w:spacing w:after="0"/>
              <w:rPr>
                <w:sz w:val="24"/>
                <w:szCs w:val="24"/>
                <w:color w:val="auto"/>
              </w:rPr>
            </w:pPr>
          </w:p>
        </w:tc>
        <w:tc>
          <w:tcPr>
            <w:tcW w:w="8460" w:type="dxa"/>
            <w:vAlign w:val="bottom"/>
            <w:gridSpan w:val="4"/>
          </w:tcPr>
          <w:p>
            <w:pPr>
              <w:ind w:left="120"/>
              <w:spacing w:after="0"/>
              <w:rPr>
                <w:sz w:val="20"/>
                <w:szCs w:val="20"/>
                <w:color w:val="auto"/>
              </w:rPr>
            </w:pPr>
            <w:r>
              <w:rPr>
                <w:rFonts w:ascii="Arial" w:cs="Arial" w:eastAsia="Arial" w:hAnsi="Arial"/>
                <w:sz w:val="18"/>
                <w:szCs w:val="18"/>
                <w:color w:val="auto"/>
              </w:rPr>
              <w:t>Consent of CM Law Firm (included in Exhibit 99.2)</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8460" w:type="dxa"/>
            <w:vAlign w:val="bottom"/>
            <w:gridSpan w:val="4"/>
          </w:tcPr>
          <w:p>
            <w:pPr>
              <w:ind w:left="120"/>
              <w:spacing w:after="0"/>
              <w:rPr>
                <w:sz w:val="20"/>
                <w:szCs w:val="20"/>
                <w:color w:val="auto"/>
              </w:rPr>
            </w:pPr>
            <w:r>
              <w:rPr>
                <w:rFonts w:ascii="Arial" w:cs="Arial" w:eastAsia="Arial" w:hAnsi="Arial"/>
                <w:sz w:val="18"/>
                <w:szCs w:val="18"/>
                <w:color w:val="auto"/>
              </w:rPr>
              <w:t>Powers of Attorney (included on signature page)</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8460" w:type="dxa"/>
            <w:vAlign w:val="bottom"/>
            <w:gridSpan w:val="4"/>
          </w:tcPr>
          <w:p>
            <w:pPr>
              <w:ind w:left="120"/>
              <w:spacing w:after="0"/>
              <w:rPr>
                <w:sz w:val="20"/>
                <w:szCs w:val="20"/>
                <w:color w:val="auto"/>
              </w:rPr>
            </w:pPr>
            <w:r>
              <w:rPr>
                <w:rFonts w:ascii="Arial" w:cs="Arial" w:eastAsia="Arial" w:hAnsi="Arial"/>
                <w:sz w:val="18"/>
                <w:szCs w:val="18"/>
                <w:color w:val="auto"/>
              </w:rPr>
              <w:t>Code of Business Conduct and Ethics of the Registrant</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640" w:type="dxa"/>
            <w:vAlign w:val="bottom"/>
          </w:tcPr>
          <w:p>
            <w:pPr>
              <w:spacing w:after="0"/>
              <w:rPr>
                <w:sz w:val="24"/>
                <w:szCs w:val="24"/>
                <w:color w:val="auto"/>
              </w:rPr>
            </w:pPr>
          </w:p>
        </w:tc>
        <w:tc>
          <w:tcPr>
            <w:tcW w:w="8460" w:type="dxa"/>
            <w:vAlign w:val="bottom"/>
            <w:gridSpan w:val="4"/>
          </w:tcPr>
          <w:p>
            <w:pPr>
              <w:ind w:left="120"/>
              <w:spacing w:after="0"/>
              <w:rPr>
                <w:sz w:val="20"/>
                <w:szCs w:val="20"/>
                <w:color w:val="auto"/>
              </w:rPr>
            </w:pPr>
            <w:r>
              <w:rPr>
                <w:rFonts w:ascii="Arial" w:cs="Arial" w:eastAsia="Arial" w:hAnsi="Arial"/>
                <w:sz w:val="18"/>
                <w:szCs w:val="18"/>
                <w:color w:val="auto"/>
              </w:rPr>
              <w:t>Opinion of CM Law Firm regarding certain PRC law matters</w:t>
            </w:r>
          </w:p>
        </w:tc>
      </w:tr>
      <w:tr>
        <w:trPr>
          <w:trHeight w:val="322"/>
        </w:trPr>
        <w:tc>
          <w:tcPr>
            <w:tcW w:w="460" w:type="dxa"/>
            <w:vAlign w:val="bottom"/>
          </w:tcPr>
          <w:p>
            <w:pPr>
              <w:spacing w:after="0"/>
              <w:rPr>
                <w:sz w:val="20"/>
                <w:szCs w:val="20"/>
                <w:color w:val="auto"/>
              </w:rPr>
            </w:pPr>
            <w:r>
              <w:rPr>
                <w:rFonts w:ascii="Arial" w:cs="Arial" w:eastAsia="Arial" w:hAnsi="Arial"/>
                <w:sz w:val="18"/>
                <w:szCs w:val="18"/>
                <w:color w:val="auto"/>
              </w:rPr>
              <w:t>99.4*</w:t>
            </w:r>
          </w:p>
        </w:tc>
        <w:tc>
          <w:tcPr>
            <w:tcW w:w="640" w:type="dxa"/>
            <w:vAlign w:val="bottom"/>
          </w:tcPr>
          <w:p>
            <w:pPr>
              <w:spacing w:after="0"/>
              <w:rPr>
                <w:sz w:val="24"/>
                <w:szCs w:val="24"/>
                <w:color w:val="auto"/>
              </w:rPr>
            </w:pPr>
          </w:p>
        </w:tc>
        <w:tc>
          <w:tcPr>
            <w:tcW w:w="8460" w:type="dxa"/>
            <w:vAlign w:val="bottom"/>
            <w:gridSpan w:val="4"/>
          </w:tcPr>
          <w:p>
            <w:pPr>
              <w:ind w:left="120"/>
              <w:spacing w:after="0"/>
              <w:rPr>
                <w:sz w:val="20"/>
                <w:szCs w:val="20"/>
                <w:color w:val="auto"/>
              </w:rPr>
            </w:pPr>
            <w:r>
              <w:rPr>
                <w:rFonts w:ascii="Arial" w:cs="Arial" w:eastAsia="Arial" w:hAnsi="Arial"/>
                <w:sz w:val="18"/>
                <w:szCs w:val="18"/>
                <w:color w:val="auto"/>
              </w:rPr>
              <w:t>Consent of Oliver Wyman Consulting (Shanghai) Ltd.</w:t>
            </w:r>
          </w:p>
        </w:tc>
      </w:tr>
      <w:tr>
        <w:trPr>
          <w:trHeight w:val="134"/>
        </w:trPr>
        <w:tc>
          <w:tcPr>
            <w:tcW w:w="1100" w:type="dxa"/>
            <w:vAlign w:val="bottom"/>
            <w:tcBorders>
              <w:bottom w:val="single" w:sz="8" w:color="auto"/>
            </w:tcBorders>
            <w:gridSpan w:val="2"/>
          </w:tcPr>
          <w:p>
            <w:pPr>
              <w:spacing w:after="0"/>
              <w:rPr>
                <w:sz w:val="11"/>
                <w:szCs w:val="11"/>
                <w:color w:val="auto"/>
              </w:rPr>
            </w:pPr>
          </w:p>
        </w:tc>
        <w:tc>
          <w:tcPr>
            <w:tcW w:w="12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740" w:type="dxa"/>
            <w:vAlign w:val="bottom"/>
          </w:tcPr>
          <w:p>
            <w:pPr>
              <w:spacing w:after="0"/>
              <w:rPr>
                <w:sz w:val="11"/>
                <w:szCs w:val="11"/>
                <w:color w:val="auto"/>
              </w:rPr>
            </w:pPr>
          </w:p>
        </w:tc>
      </w:tr>
      <w:tr>
        <w:trPr>
          <w:trHeight w:val="249"/>
        </w:trPr>
        <w:tc>
          <w:tcPr>
            <w:tcW w:w="2380" w:type="dxa"/>
            <w:vAlign w:val="bottom"/>
            <w:gridSpan w:val="3"/>
          </w:tcPr>
          <w:p>
            <w:pPr>
              <w:spacing w:after="0"/>
              <w:rPr>
                <w:sz w:val="20"/>
                <w:szCs w:val="20"/>
                <w:color w:val="auto"/>
              </w:rPr>
            </w:pPr>
            <w:r>
              <w:rPr>
                <w:rFonts w:ascii="Arial" w:cs="Arial" w:eastAsia="Arial" w:hAnsi="Arial"/>
                <w:sz w:val="18"/>
                <w:szCs w:val="18"/>
                <w:color w:val="auto"/>
              </w:rPr>
              <w:t>*  To be filed by amendment.</w:t>
            </w:r>
          </w:p>
        </w:tc>
        <w:tc>
          <w:tcPr>
            <w:tcW w:w="29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363"/>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180" w:type="dxa"/>
            <w:vAlign w:val="bottom"/>
            <w:gridSpan w:val="3"/>
          </w:tcPr>
          <w:p>
            <w:pPr>
              <w:ind w:left="296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0219"/>
          </w:cols>
          <w:pgMar w:left="240" w:top="457" w:right="1440"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left="240" w:right="420" w:firstLine="438"/>
        <w:spacing w:after="0" w:line="289"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3520" w:type="dxa"/>
            <w:vAlign w:val="bottom"/>
          </w:tcPr>
          <w:p>
            <w:pPr>
              <w:spacing w:after="0"/>
              <w:rPr>
                <w:sz w:val="20"/>
                <w:szCs w:val="20"/>
                <w:color w:val="auto"/>
              </w:rPr>
            </w:pPr>
            <w:r>
              <w:rPr>
                <w:rFonts w:ascii="Arial" w:cs="Arial" w:eastAsia="Arial" w:hAnsi="Arial"/>
                <w:sz w:val="18"/>
                <w:szCs w:val="18"/>
                <w:color w:val="auto"/>
                <w:w w:val="99"/>
              </w:rPr>
              <w:t>thereunto duly authorized, in Hong Kong, on</w:t>
            </w:r>
          </w:p>
        </w:tc>
        <w:tc>
          <w:tcPr>
            <w:tcW w:w="3420" w:type="dxa"/>
            <w:vAlign w:val="bottom"/>
          </w:tcPr>
          <w:p>
            <w:pPr>
              <w:jc w:val="right"/>
              <w:ind w:right="2511"/>
              <w:spacing w:after="0"/>
              <w:rPr>
                <w:sz w:val="20"/>
                <w:szCs w:val="20"/>
                <w:color w:val="auto"/>
              </w:rPr>
            </w:pPr>
            <w:r>
              <w:rPr>
                <w:rFonts w:ascii="Arial" w:cs="Arial" w:eastAsia="Arial" w:hAnsi="Arial"/>
                <w:sz w:val="18"/>
                <w:szCs w:val="18"/>
                <w:color w:val="auto"/>
              </w:rPr>
              <w:t>, 2018.</w:t>
            </w:r>
          </w:p>
        </w:tc>
        <w:tc>
          <w:tcPr>
            <w:tcW w:w="4020" w:type="dxa"/>
            <w:vAlign w:val="bottom"/>
          </w:tcPr>
          <w:p>
            <w:pPr>
              <w:spacing w:after="0"/>
              <w:rPr>
                <w:sz w:val="19"/>
                <w:szCs w:val="19"/>
                <w:color w:val="auto"/>
              </w:rPr>
            </w:pPr>
          </w:p>
        </w:tc>
      </w:tr>
      <w:tr>
        <w:trPr>
          <w:trHeight w:val="442"/>
        </w:trPr>
        <w:tc>
          <w:tcPr>
            <w:tcW w:w="3520" w:type="dxa"/>
            <w:vAlign w:val="bottom"/>
          </w:tcPr>
          <w:p>
            <w:pPr>
              <w:spacing w:after="0"/>
              <w:rPr>
                <w:sz w:val="24"/>
                <w:szCs w:val="24"/>
                <w:color w:val="auto"/>
              </w:rPr>
            </w:pPr>
          </w:p>
        </w:tc>
        <w:tc>
          <w:tcPr>
            <w:tcW w:w="7440" w:type="dxa"/>
            <w:vAlign w:val="bottom"/>
            <w:gridSpan w:val="2"/>
          </w:tcPr>
          <w:p>
            <w:pPr>
              <w:ind w:left="3060"/>
              <w:spacing w:after="0"/>
              <w:rPr>
                <w:sz w:val="20"/>
                <w:szCs w:val="20"/>
                <w:color w:val="auto"/>
              </w:rPr>
            </w:pPr>
            <w:r>
              <w:rPr>
                <w:rFonts w:ascii="Arial" w:cs="Arial" w:eastAsia="Arial" w:hAnsi="Arial"/>
                <w:sz w:val="18"/>
                <w:szCs w:val="18"/>
                <w:b w:val="1"/>
                <w:bCs w:val="1"/>
                <w:color w:val="auto"/>
              </w:rPr>
              <w:t>Futu Holdings Limited</w:t>
            </w:r>
          </w:p>
        </w:tc>
      </w:tr>
      <w:tr>
        <w:trPr>
          <w:trHeight w:val="429"/>
        </w:trPr>
        <w:tc>
          <w:tcPr>
            <w:tcW w:w="3520" w:type="dxa"/>
            <w:vAlign w:val="bottom"/>
          </w:tcPr>
          <w:p>
            <w:pPr>
              <w:spacing w:after="0"/>
              <w:rPr>
                <w:sz w:val="24"/>
                <w:szCs w:val="24"/>
                <w:color w:val="auto"/>
              </w:rPr>
            </w:pPr>
          </w:p>
        </w:tc>
        <w:tc>
          <w:tcPr>
            <w:tcW w:w="7440" w:type="dxa"/>
            <w:vAlign w:val="bottom"/>
            <w:gridSpan w:val="2"/>
          </w:tcPr>
          <w:p>
            <w:pPr>
              <w:ind w:left="3060"/>
              <w:spacing w:after="0"/>
              <w:rPr>
                <w:sz w:val="20"/>
                <w:szCs w:val="20"/>
                <w:color w:val="auto"/>
              </w:rPr>
            </w:pPr>
            <w:r>
              <w:rPr>
                <w:rFonts w:ascii="Arial" w:cs="Arial" w:eastAsia="Arial" w:hAnsi="Arial"/>
                <w:sz w:val="18"/>
                <w:szCs w:val="18"/>
                <w:color w:val="auto"/>
              </w:rPr>
              <w:t>By:</w:t>
            </w:r>
          </w:p>
        </w:tc>
      </w:tr>
      <w:tr>
        <w:trPr>
          <w:trHeight w:val="207"/>
        </w:trPr>
        <w:tc>
          <w:tcPr>
            <w:tcW w:w="3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29"/>
        </w:trPr>
        <w:tc>
          <w:tcPr>
            <w:tcW w:w="35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Title:</w:t>
            </w:r>
          </w:p>
        </w:tc>
      </w:tr>
      <w:tr>
        <w:trPr>
          <w:trHeight w:val="363"/>
        </w:trPr>
        <w:tc>
          <w:tcPr>
            <w:tcW w:w="3520" w:type="dxa"/>
            <w:vAlign w:val="bottom"/>
          </w:tcPr>
          <w:p>
            <w:pPr>
              <w:spacing w:after="0"/>
              <w:rPr>
                <w:sz w:val="24"/>
                <w:szCs w:val="24"/>
                <w:color w:val="auto"/>
              </w:rPr>
            </w:pPr>
          </w:p>
        </w:tc>
        <w:tc>
          <w:tcPr>
            <w:tcW w:w="7440" w:type="dxa"/>
            <w:vAlign w:val="bottom"/>
            <w:gridSpan w:val="2"/>
          </w:tcPr>
          <w:p>
            <w:pPr>
              <w:ind w:left="182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200"/>
          </w:cols>
          <w:pgMar w:left="240" w:top="458"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ind w:left="240" w:firstLine="438"/>
        <w:spacing w:after="0" w:line="282" w:lineRule="auto"/>
        <w:rPr>
          <w:sz w:val="20"/>
          <w:szCs w:val="20"/>
          <w:color w:val="auto"/>
        </w:rPr>
      </w:pPr>
      <w:r>
        <w:rPr>
          <w:rFonts w:ascii="Arial" w:cs="Arial" w:eastAsia="Arial" w:hAnsi="Arial"/>
          <w:sz w:val="16"/>
          <w:szCs w:val="16"/>
          <w:color w:val="auto"/>
        </w:rPr>
        <w:t>Each person whose signature appears below constitutes and appoints each of Leaf Hua Li and Arthur Yu Chen as attorneys-in-fact with full power of substitution, for him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w:t>
      </w:r>
    </w:p>
    <w:p>
      <w:pPr>
        <w:spacing w:after="0" w:line="4" w:lineRule="exact"/>
        <w:rPr>
          <w:sz w:val="20"/>
          <w:szCs w:val="20"/>
          <w:color w:val="auto"/>
        </w:rPr>
      </w:pPr>
    </w:p>
    <w:p>
      <w:pPr>
        <w:ind w:left="240" w:right="120"/>
        <w:spacing w:after="0" w:line="300" w:lineRule="auto"/>
        <w:rPr>
          <w:sz w:val="20"/>
          <w:szCs w:val="20"/>
          <w:color w:val="auto"/>
        </w:rPr>
      </w:pPr>
      <w:r>
        <w:rPr>
          <w:rFonts w:ascii="Arial" w:cs="Arial" w:eastAsia="Arial" w:hAnsi="Arial"/>
          <w:sz w:val="16"/>
          <w:szCs w:val="16"/>
          <w:color w:val="auto"/>
        </w:rPr>
        <w:t>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55" w:lineRule="exact"/>
        <w:rPr>
          <w:sz w:val="20"/>
          <w:szCs w:val="20"/>
          <w:color w:val="auto"/>
        </w:rPr>
      </w:pPr>
    </w:p>
    <w:p>
      <w:pPr>
        <w:ind w:left="240" w:right="160" w:firstLine="438"/>
        <w:spacing w:after="0" w:line="27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140"/>
          </w:cols>
          <w:pgMar w:left="240" w:top="458" w:right="519" w:bottom="1440" w:gutter="0" w:footer="0" w:header="0"/>
        </w:sectPr>
      </w:pPr>
    </w:p>
    <w:p>
      <w:pPr>
        <w:spacing w:after="0" w:line="189" w:lineRule="exact"/>
        <w:rPr>
          <w:sz w:val="20"/>
          <w:szCs w:val="20"/>
          <w:color w:val="auto"/>
        </w:rPr>
      </w:pPr>
    </w:p>
    <w:p>
      <w:pPr>
        <w:jc w:val="center"/>
        <w:ind w:left="720"/>
        <w:spacing w:after="0"/>
        <w:rPr>
          <w:sz w:val="20"/>
          <w:szCs w:val="20"/>
          <w:color w:val="auto"/>
        </w:rPr>
      </w:pPr>
      <w:r>
        <w:rPr>
          <w:rFonts w:ascii="Arial" w:cs="Arial" w:eastAsia="Arial" w:hAnsi="Arial"/>
          <w:sz w:val="13"/>
          <w:szCs w:val="13"/>
          <w:b w:val="1"/>
          <w:bCs w:val="1"/>
          <w:u w:val="single" w:color="auto"/>
          <w:color w:val="auto"/>
        </w:rPr>
        <w:t>Signature</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Leaf Hua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13970</wp:posOffset>
            </wp:positionV>
            <wp:extent cx="26428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Ppchen Weihua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13970</wp:posOffset>
            </wp:positionV>
            <wp:extent cx="26428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Arthur Yu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13970</wp:posOffset>
            </wp:positionV>
            <wp:extent cx="26428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Nineway 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13970</wp:posOffset>
            </wp:positionV>
            <wp:extent cx="26428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13970</wp:posOffset>
            </wp:positionV>
            <wp:extent cx="26428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Vic Haixiang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13970</wp:posOffset>
            </wp:positionV>
            <wp:extent cx="26428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Robin Li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13970</wp:posOffset>
            </wp:positionV>
            <wp:extent cx="26428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Ching-Yee Joey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13970</wp:posOffset>
            </wp:positionV>
            <wp:extent cx="26428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040" w:type="dxa"/>
            <w:vAlign w:val="bottom"/>
            <w:gridSpan w:val="3"/>
          </w:tcPr>
          <w:p>
            <w:pPr>
              <w:ind w:left="1880"/>
              <w:spacing w:after="0"/>
              <w:rPr>
                <w:sz w:val="20"/>
                <w:szCs w:val="20"/>
                <w:color w:val="auto"/>
              </w:rPr>
            </w:pPr>
            <w:r>
              <w:rPr>
                <w:rFonts w:ascii="Arial" w:cs="Arial" w:eastAsia="Arial" w:hAnsi="Arial"/>
                <w:sz w:val="14"/>
                <w:szCs w:val="14"/>
                <w:b w:val="1"/>
                <w:bCs w:val="1"/>
                <w:color w:val="auto"/>
              </w:rPr>
              <w:t>Title</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Date</w:t>
            </w:r>
          </w:p>
        </w:tc>
      </w:tr>
      <w:tr>
        <w:trPr>
          <w:trHeight w:val="20"/>
        </w:trPr>
        <w:tc>
          <w:tcPr>
            <w:tcW w:w="1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409"/>
        </w:trPr>
        <w:tc>
          <w:tcPr>
            <w:tcW w:w="4040" w:type="dxa"/>
            <w:vAlign w:val="bottom"/>
            <w:gridSpan w:val="3"/>
          </w:tcPr>
          <w:p>
            <w:pPr>
              <w:spacing w:after="0"/>
              <w:rPr>
                <w:sz w:val="20"/>
                <w:szCs w:val="20"/>
                <w:color w:val="auto"/>
              </w:rPr>
            </w:pPr>
            <w:r>
              <w:rPr>
                <w:rFonts w:ascii="Arial" w:cs="Arial" w:eastAsia="Arial" w:hAnsi="Arial"/>
                <w:sz w:val="18"/>
                <w:szCs w:val="18"/>
                <w:color w:val="auto"/>
              </w:rPr>
              <w:t>Chairman of the Board of Directors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 2018</w:t>
            </w:r>
          </w:p>
        </w:tc>
      </w:tr>
      <w:tr>
        <w:trPr>
          <w:trHeight w:val="215"/>
        </w:trPr>
        <w:tc>
          <w:tcPr>
            <w:tcW w:w="4040" w:type="dxa"/>
            <w:vAlign w:val="bottom"/>
            <w:gridSpan w:val="3"/>
          </w:tcPr>
          <w:p>
            <w:pPr>
              <w:spacing w:after="0"/>
              <w:rPr>
                <w:sz w:val="20"/>
                <w:szCs w:val="20"/>
                <w:color w:val="auto"/>
              </w:rPr>
            </w:pPr>
            <w:r>
              <w:rPr>
                <w:rFonts w:ascii="Arial" w:cs="Arial" w:eastAsia="Arial" w:hAnsi="Arial"/>
                <w:sz w:val="18"/>
                <w:szCs w:val="18"/>
                <w:color w:val="auto"/>
              </w:rPr>
              <w:t>and Chief Executive Officer</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9"/>
        </w:trPr>
        <w:tc>
          <w:tcPr>
            <w:tcW w:w="40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0"/>
        </w:trPr>
        <w:tc>
          <w:tcPr>
            <w:tcW w:w="4040" w:type="dxa"/>
            <w:vAlign w:val="bottom"/>
            <w:gridSpan w:val="3"/>
          </w:tcPr>
          <w:p>
            <w:pPr>
              <w:spacing w:after="0"/>
              <w:rPr>
                <w:sz w:val="20"/>
                <w:szCs w:val="20"/>
                <w:color w:val="auto"/>
              </w:rPr>
            </w:pPr>
            <w:r>
              <w:rPr>
                <w:rFonts w:ascii="Arial" w:cs="Arial" w:eastAsia="Arial" w:hAnsi="Arial"/>
                <w:sz w:val="18"/>
                <w:szCs w:val="18"/>
                <w:color w:val="auto"/>
              </w:rPr>
              <w:t>Chief Technology Officer</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 2018</w:t>
            </w:r>
          </w:p>
        </w:tc>
      </w:tr>
      <w:tr>
        <w:trPr>
          <w:trHeight w:val="657"/>
        </w:trPr>
        <w:tc>
          <w:tcPr>
            <w:tcW w:w="40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 2018</w:t>
            </w:r>
          </w:p>
        </w:tc>
      </w:tr>
      <w:tr>
        <w:trPr>
          <w:trHeight w:val="229"/>
        </w:trPr>
        <w:tc>
          <w:tcPr>
            <w:tcW w:w="404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57"/>
        </w:trPr>
        <w:tc>
          <w:tcPr>
            <w:tcW w:w="40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 2018</w:t>
            </w:r>
          </w:p>
        </w:tc>
      </w:tr>
      <w:tr>
        <w:trPr>
          <w:trHeight w:val="671"/>
        </w:trPr>
        <w:tc>
          <w:tcPr>
            <w:tcW w:w="40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 2018</w:t>
            </w:r>
          </w:p>
        </w:tc>
      </w:tr>
      <w:tr>
        <w:trPr>
          <w:trHeight w:val="671"/>
        </w:trPr>
        <w:tc>
          <w:tcPr>
            <w:tcW w:w="4040" w:type="dxa"/>
            <w:vAlign w:val="bottom"/>
            <w:gridSpan w:val="3"/>
          </w:tcPr>
          <w:p>
            <w:pPr>
              <w:spacing w:after="0"/>
              <w:rPr>
                <w:sz w:val="20"/>
                <w:szCs w:val="20"/>
                <w:color w:val="auto"/>
              </w:rPr>
            </w:pPr>
            <w:r>
              <w:rPr>
                <w:rFonts w:ascii="Arial" w:cs="Arial" w:eastAsia="Arial" w:hAnsi="Arial"/>
                <w:sz w:val="18"/>
                <w:szCs w:val="18"/>
                <w:color w:val="auto"/>
              </w:rPr>
              <w:t>Independent Director</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 2018</w:t>
            </w:r>
          </w:p>
        </w:tc>
      </w:tr>
      <w:tr>
        <w:trPr>
          <w:trHeight w:val="671"/>
        </w:trPr>
        <w:tc>
          <w:tcPr>
            <w:tcW w:w="404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 2018</w:t>
            </w:r>
          </w:p>
        </w:tc>
      </w:tr>
      <w:tr>
        <w:trPr>
          <w:trHeight w:val="671"/>
        </w:trPr>
        <w:tc>
          <w:tcPr>
            <w:tcW w:w="4040" w:type="dxa"/>
            <w:vAlign w:val="bottom"/>
            <w:gridSpan w:val="3"/>
          </w:tcPr>
          <w:p>
            <w:pPr>
              <w:spacing w:after="0"/>
              <w:rPr>
                <w:sz w:val="20"/>
                <w:szCs w:val="20"/>
                <w:color w:val="auto"/>
              </w:rPr>
            </w:pPr>
            <w:r>
              <w:rPr>
                <w:rFonts w:ascii="Arial" w:cs="Arial" w:eastAsia="Arial" w:hAnsi="Arial"/>
                <w:sz w:val="18"/>
                <w:szCs w:val="18"/>
                <w:color w:val="auto"/>
              </w:rPr>
              <w:t>Head of Compliance</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 2018</w:t>
            </w:r>
          </w:p>
        </w:tc>
      </w:tr>
      <w:tr>
        <w:trPr>
          <w:trHeight w:val="604"/>
        </w:trPr>
        <w:tc>
          <w:tcPr>
            <w:tcW w:w="4040" w:type="dxa"/>
            <w:vAlign w:val="bottom"/>
            <w:gridSpan w:val="3"/>
          </w:tcPr>
          <w:p>
            <w:pPr>
              <w:ind w:left="940"/>
              <w:spacing w:after="0"/>
              <w:rPr>
                <w:sz w:val="20"/>
                <w:szCs w:val="20"/>
                <w:color w:val="auto"/>
              </w:rPr>
            </w:pPr>
            <w:r>
              <w:rPr>
                <w:rFonts w:ascii="Arial" w:cs="Arial" w:eastAsia="Arial" w:hAnsi="Arial"/>
                <w:sz w:val="18"/>
                <w:szCs w:val="18"/>
                <w:color w:val="auto"/>
              </w:rPr>
              <w:t>II-6</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2">
            <w:col w:w="3920" w:space="720"/>
            <w:col w:w="6500"/>
          </w:cols>
          <w:pgMar w:left="240" w:top="458" w:right="519" w:bottom="1440" w:gutter="0" w:footer="0" w:header="0"/>
          <w:type w:val="continuous"/>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Pursuant to the Securities Act of 1933, as amended, the undersigned, the duly authorized representative in the United States of Futu Holdings</w:t>
      </w:r>
    </w:p>
    <w:p>
      <w:pPr>
        <w:spacing w:after="0" w:line="45"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9120" w:type="dxa"/>
            <w:vAlign w:val="bottom"/>
          </w:tcPr>
          <w:p>
            <w:pPr>
              <w:spacing w:after="0"/>
              <w:rPr>
                <w:sz w:val="20"/>
                <w:szCs w:val="20"/>
                <w:color w:val="auto"/>
              </w:rPr>
            </w:pPr>
            <w:r>
              <w:rPr>
                <w:rFonts w:ascii="Arial" w:cs="Arial" w:eastAsia="Arial" w:hAnsi="Arial"/>
                <w:sz w:val="18"/>
                <w:szCs w:val="18"/>
                <w:color w:val="auto"/>
                <w:w w:val="93"/>
              </w:rPr>
              <w:t>Limited, has signed this registration statement or amendment thereto in New York, New York, United States of America on</w:t>
            </w:r>
          </w:p>
        </w:tc>
        <w:tc>
          <w:tcPr>
            <w:tcW w:w="82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1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Authorized U.S. Representative</w:t>
      </w:r>
    </w:p>
    <w:p>
      <w:pPr>
        <w:spacing w:after="0" w:line="2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13970</wp:posOffset>
            </wp:positionV>
            <wp:extent cx="25495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1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sectPr>
      <w:pgSz w:w="11900" w:h="16838" w:orient="portrait"/>
      <w:cols w:equalWidth="0" w:num="1">
        <w:col w:w="10800"/>
      </w:cols>
      <w:pgMar w:left="240" w:top="45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1)"/>
      <w:numFmt w:val="decimal"/>
      <w:start w:val="1"/>
    </w:lvl>
  </w:abstractNum>
  <w:abstractNum w:abstractNumId="2">
    <w:nsid w:val="53584BCB"/>
    <w:multiLevelType w:val="hybridMultilevel"/>
    <w:lvl w:ilvl="0">
      <w:lvlJc w:val="left"/>
      <w:lvlText w:val="(%1)"/>
      <w:numFmt w:val="decimal"/>
      <w:start w:val="2"/>
    </w:lvl>
  </w:abstractNum>
  <w:abstractNum w:abstractNumId="3">
    <w:nsid w:val="415E286C"/>
    <w:multiLevelType w:val="hybridMultilevel"/>
    <w:lvl w:ilvl="0">
      <w:lvlJc w:val="left"/>
      <w:lvlText w:val="(%1)"/>
      <w:numFmt w:val="decimal"/>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
      <w:numFmt w:val="bullet"/>
      <w:start w:val="1"/>
    </w:lvl>
  </w:abstractNum>
  <w:abstractNum w:abstractNumId="7">
    <w:nsid w:val="5C10FE21"/>
    <w:multiLevelType w:val="hybridMultilevel"/>
    <w:lvl w:ilvl="0">
      <w:lvlJc w:val="left"/>
      <w:lvlText w:val="•"/>
      <w:numFmt w:val="bullet"/>
      <w:start w:val="1"/>
    </w:lvl>
  </w:abstractNum>
  <w:abstractNum w:abstractNumId="8">
    <w:nsid w:val="E7FFA2B"/>
    <w:multiLevelType w:val="hybridMultilevel"/>
    <w:lvl w:ilvl="0">
      <w:lvlJc w:val="left"/>
      <w:lvlText w:val="•"/>
      <w:numFmt w:val="bullet"/>
      <w:start w:val="1"/>
    </w:lvl>
  </w:abstractNum>
  <w:abstractNum w:abstractNumId="9">
    <w:nsid w:val="3C5991AA"/>
    <w:multiLevelType w:val="hybridMultilevel"/>
    <w:lvl w:ilvl="0">
      <w:lvlJc w:val="left"/>
      <w:lvlText w:val="(%1)"/>
      <w:numFmt w:val="decimal"/>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
      <w:numFmt w:val="bullet"/>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1)"/>
      <w:numFmt w:val="lowerRoman"/>
      <w:start w:val="3"/>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abstractNum>
  <w:abstractNum w:abstractNumId="25">
    <w:nsid w:val="5B25ACE2"/>
    <w:multiLevelType w:val="hybridMultilevel"/>
    <w:lvl w:ilvl="0">
      <w:lvlJc w:val="left"/>
      <w:lvlText w:val="(%1)"/>
      <w:numFmt w:val="decimal"/>
      <w:start w:val="1"/>
    </w:lvl>
  </w:abstractNum>
  <w:abstractNum w:abstractNumId="26">
    <w:nsid w:val="175DFCF0"/>
    <w:multiLevelType w:val="hybridMultilevel"/>
    <w:lvl w:ilvl="0">
      <w:lvlJc w:val="left"/>
      <w:lvlText w:val="(%1)"/>
      <w:numFmt w:val="decimal"/>
      <w:start w:val="1"/>
    </w:lvl>
  </w:abstractNum>
  <w:abstractNum w:abstractNumId="27">
    <w:nsid w:val="4F97E3E4"/>
    <w:multiLevelType w:val="hybridMultilevel"/>
    <w:lvl w:ilvl="0">
      <w:lvlJc w:val="left"/>
      <w:lvlText w:val="(%1)"/>
      <w:numFmt w:val="decimal"/>
    </w:lvl>
    <w:lvl w:ilvl="1">
      <w:lvlJc w:val="left"/>
      <w:lvlText w:val=","/>
      <w:numFmt w:val="bullet"/>
      <w:start w:val="1"/>
    </w:lvl>
  </w:abstractNum>
  <w:abstractNum w:abstractNumId="28">
    <w:nsid w:val="53B0A9E"/>
    <w:multiLevelType w:val="hybridMultilevel"/>
    <w:lvl w:ilvl="0">
      <w:lvlJc w:val="left"/>
      <w:lvlText w:val="(%1)"/>
      <w:numFmt w:val="decimal"/>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1)"/>
      <w:numFmt w:val="lowerLetter"/>
      <w:start w:val="2"/>
    </w:lvl>
  </w:abstractNum>
  <w:abstractNum w:abstractNumId="31">
    <w:nsid w:val="56438D15"/>
    <w:multiLevelType w:val="hybridMultilevel"/>
    <w:lvl w:ilvl="0">
      <w:lvlJc w:val="left"/>
      <w:lvlText w:val="(%1)"/>
      <w:numFmt w:val="decimal"/>
      <w:start w:val="1"/>
    </w:lvl>
  </w:abstractNum>
  <w:abstractNum w:abstractNumId="32">
    <w:nsid w:val="519E3149"/>
    <w:multiLevelType w:val="hybridMultilevel"/>
    <w:lvl w:ilvl="0">
      <w:lvlJc w:val="left"/>
      <w:lvlText w:val="(%1)"/>
      <w:numFmt w:val="lowerRoman"/>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
      <w:numFmt w:val="bullet"/>
      <w:start w:val="1"/>
    </w:lvl>
  </w:abstractNum>
  <w:abstractNum w:abstractNumId="36">
    <w:nsid w:val="5046B5A9"/>
    <w:multiLevelType w:val="hybridMultilevel"/>
    <w:lvl w:ilvl="0">
      <w:lvlJc w:val="left"/>
      <w:lvlText w:val="•"/>
      <w:numFmt w:val="bullet"/>
      <w:start w:val="1"/>
    </w:lvl>
  </w:abstractNum>
  <w:abstractNum w:abstractNumId="37">
    <w:nsid w:val="5D888A08"/>
    <w:multiLevelType w:val="hybridMultilevel"/>
    <w:lvl w:ilvl="0">
      <w:lvlJc w:val="left"/>
      <w:lvlText w:val="•"/>
      <w:numFmt w:val="bullet"/>
      <w:start w:val="1"/>
    </w:lvl>
    <w:lvl w:ilvl="1">
      <w:lvlJc w:val="left"/>
      <w:lvlText w:val="•"/>
      <w:numFmt w:val="bullet"/>
      <w:start w:val="1"/>
    </w:lvl>
  </w:abstractNum>
  <w:abstractNum w:abstractNumId="38">
    <w:nsid w:val="2A082C70"/>
    <w:multiLevelType w:val="hybridMultilevel"/>
    <w:lvl w:ilvl="0">
      <w:lvlJc w:val="left"/>
      <w:lvlText w:val="(%1)"/>
      <w:numFmt w:val="decimal"/>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
      <w:numFmt w:val="bullet"/>
      <w:start w:val="1"/>
    </w:lvl>
  </w:abstractNum>
  <w:abstractNum w:abstractNumId="41">
    <w:nsid w:val="75E0858A"/>
    <w:multiLevelType w:val="hybridMultilevel"/>
    <w:lvl w:ilvl="0">
      <w:lvlJc w:val="left"/>
      <w:lvlText w:val="•"/>
      <w:numFmt w:val="bullet"/>
      <w:start w:val="1"/>
    </w:lvl>
  </w:abstractNum>
  <w:abstractNum w:abstractNumId="42">
    <w:nsid w:val="57A61A29"/>
    <w:multiLevelType w:val="hybridMultilevel"/>
    <w:lvl w:ilvl="0">
      <w:lvlJc w:val="left"/>
      <w:lvlText w:val="(%1)"/>
      <w:numFmt w:val="decimal"/>
      <w:start w:val="1"/>
    </w:lvl>
  </w:abstractNum>
  <w:abstractNum w:abstractNumId="43">
    <w:nsid w:val="5399C654"/>
    <w:multiLevelType w:val="hybridMultilevel"/>
    <w:lvl w:ilvl="0">
      <w:lvlJc w:val="left"/>
      <w:lvlText w:val="•"/>
      <w:numFmt w:val="bullet"/>
      <w:start w:val="1"/>
    </w:lvl>
  </w:abstractNum>
  <w:abstractNum w:abstractNumId="44">
    <w:nsid w:val="20EE1348"/>
    <w:multiLevelType w:val="hybridMultilevel"/>
    <w:lvl w:ilvl="0">
      <w:lvlJc w:val="left"/>
      <w:lvlText w:val="•"/>
      <w:numFmt w:val="bullet"/>
      <w:start w:val="1"/>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
      <w:numFmt w:val="bullet"/>
      <w:start w:val="1"/>
    </w:lvl>
  </w:abstractNum>
  <w:abstractNum w:abstractNumId="51">
    <w:nsid w:val="E3E47A8"/>
    <w:multiLevelType w:val="hybridMultilevel"/>
    <w:lvl w:ilvl="0">
      <w:lvlJc w:val="left"/>
      <w:lvlText w:val="•"/>
      <w:numFmt w:val="bullet"/>
      <w:start w:val="1"/>
    </w:lvl>
  </w:abstractNum>
  <w:abstractNum w:abstractNumId="52">
    <w:nsid w:val="2E48F044"/>
    <w:multiLevelType w:val="hybridMultilevel"/>
    <w:lvl w:ilvl="0">
      <w:lvlJc w:val="left"/>
      <w:lvlText w:val="•"/>
      <w:numFmt w:val="bullet"/>
      <w:start w:val="1"/>
    </w:lvl>
  </w:abstractNum>
  <w:abstractNum w:abstractNumId="53">
    <w:nsid w:val="49D0FEAC"/>
    <w:multiLevelType w:val="hybridMultilevel"/>
    <w:lvl w:ilvl="0">
      <w:lvlJc w:val="left"/>
      <w:lvlText w:val="•"/>
      <w:numFmt w:val="bullet"/>
      <w:start w:val="1"/>
    </w:lvl>
  </w:abstractNum>
  <w:abstractNum w:abstractNumId="54">
    <w:nsid w:val="4BEE5A5B"/>
    <w:multiLevelType w:val="hybridMultilevel"/>
    <w:lvl w:ilvl="0">
      <w:lvlJc w:val="left"/>
      <w:lvlText w:val="•"/>
      <w:numFmt w:val="bullet"/>
      <w:start w:val="1"/>
    </w:lvl>
  </w:abstractNum>
  <w:abstractNum w:abstractNumId="55">
    <w:nsid w:val="5551B9F3"/>
    <w:multiLevelType w:val="hybridMultilevel"/>
    <w:lvl w:ilvl="0">
      <w:lvlJc w:val="left"/>
      <w:lvlText w:val="•"/>
      <w:numFmt w:val="bullet"/>
      <w:start w:val="1"/>
    </w:lvl>
  </w:abstractNum>
  <w:abstractNum w:abstractNumId="56">
    <w:nsid w:val="24F6AB8E"/>
    <w:multiLevelType w:val="hybridMultilevel"/>
    <w:lvl w:ilvl="0">
      <w:lvlJc w:val="left"/>
      <w:lvlText w:val="•"/>
      <w:numFmt w:val="bullet"/>
      <w:start w:val="1"/>
    </w:lvl>
  </w:abstractNum>
  <w:abstractNum w:abstractNumId="57">
    <w:nsid w:val="634C574C"/>
    <w:multiLevelType w:val="hybridMultilevel"/>
    <w:lvl w:ilvl="0">
      <w:lvlJc w:val="left"/>
      <w:lvlText w:val="(%1)"/>
      <w:numFmt w:val="decimal"/>
      <w:start w:val="1"/>
    </w:lvl>
  </w:abstractNum>
  <w:abstractNum w:abstractNumId="58">
    <w:nsid w:val="24E99DD7"/>
    <w:multiLevelType w:val="hybridMultilevel"/>
    <w:lvl w:ilvl="0">
      <w:lvlJc w:val="left"/>
      <w:lvlText w:val="•"/>
      <w:numFmt w:val="bullet"/>
      <w:start w:val="1"/>
    </w:lvl>
  </w:abstractNum>
  <w:abstractNum w:abstractNumId="59">
    <w:nsid w:val="2A31B62D"/>
    <w:multiLevelType w:val="hybridMultilevel"/>
    <w:lvl w:ilvl="0">
      <w:lvlJc w:val="left"/>
      <w:lvlText w:val="•"/>
      <w:numFmt w:val="bullet"/>
      <w:start w:val="1"/>
    </w:lvl>
  </w:abstractNum>
  <w:abstractNum w:abstractNumId="60">
    <w:nsid w:val="1849C29B"/>
    <w:multiLevelType w:val="hybridMultilevel"/>
    <w:lvl w:ilvl="0">
      <w:lvlJc w:val="left"/>
      <w:lvlText w:val="•"/>
      <w:numFmt w:val="bullet"/>
      <w:start w:val="1"/>
    </w:lvl>
  </w:abstractNum>
  <w:abstractNum w:abstractNumId="61">
    <w:nsid w:val="7DFF9D09"/>
    <w:multiLevelType w:val="hybridMultilevel"/>
    <w:lvl w:ilvl="0">
      <w:lvlJc w:val="left"/>
      <w:lvlText w:val="•"/>
      <w:numFmt w:val="bullet"/>
      <w:start w:val="1"/>
    </w:lvl>
  </w:abstractNum>
  <w:abstractNum w:abstractNumId="62">
    <w:nsid w:val="754342"/>
    <w:multiLevelType w:val="hybridMultilevel"/>
    <w:lvl w:ilvl="0">
      <w:lvlJc w:val="left"/>
      <w:lvlText w:val="(%1)"/>
      <w:numFmt w:val="decimal"/>
      <w:start w:val="1"/>
    </w:lvl>
  </w:abstractNum>
  <w:abstractNum w:abstractNumId="63">
    <w:nsid w:val="69E7F3E5"/>
    <w:multiLevelType w:val="hybridMultilevel"/>
    <w:lvl w:ilvl="0">
      <w:lvlJc w:val="left"/>
      <w:lvlText w:val="(%1)"/>
      <w:numFmt w:val="decimal"/>
      <w:start w:val="1"/>
    </w:lvl>
  </w:abstractNum>
  <w:abstractNum w:abstractNumId="64">
    <w:nsid w:val="2A6DE806"/>
    <w:multiLevelType w:val="hybridMultilevel"/>
    <w:lvl w:ilvl="0">
      <w:lvlJc w:val="left"/>
      <w:lvlText w:val="(%1)"/>
      <w:numFmt w:val="lowerLetter"/>
      <w:start w:val="1"/>
    </w:lvl>
  </w:abstractNum>
  <w:abstractNum w:abstractNumId="65">
    <w:nsid w:val="1816F8C4"/>
    <w:multiLevelType w:val="hybridMultilevel"/>
    <w:lvl w:ilvl="0">
      <w:lvlJc w:val="left"/>
      <w:lvlText w:val="(%1)"/>
      <w:numFmt w:val="lowerLetter"/>
      <w:start w:val="2"/>
    </w:lvl>
  </w:abstractNum>
  <w:abstractNum w:abstractNumId="66">
    <w:nsid w:val="37DF2233"/>
    <w:multiLevelType w:val="hybridMultilevel"/>
    <w:lvl w:ilvl="0">
      <w:lvlJc w:val="left"/>
      <w:lvlText w:val="(%1)"/>
      <w:numFmt w:val="lowerLetter"/>
      <w:start w:val="1"/>
    </w:lvl>
  </w:abstractNum>
  <w:abstractNum w:abstractNumId="67">
    <w:nsid w:val="7AB49DAF"/>
    <w:multiLevelType w:val="hybridMultilevel"/>
    <w:lvl w:ilvl="0">
      <w:lvlJc w:val="left"/>
      <w:lvlText w:val="(%1)"/>
      <w:numFmt w:val="lowerLetter"/>
      <w:start w:val="1"/>
    </w:lvl>
  </w:abstractNum>
  <w:abstractNum w:abstractNumId="68">
    <w:nsid w:val="759F82CD"/>
    <w:multiLevelType w:val="hybridMultilevel"/>
    <w:lvl w:ilvl="0">
      <w:lvlJc w:val="left"/>
      <w:lvlText w:val="(%1)"/>
      <w:numFmt w:val="lowerLetter"/>
      <w:start w:val="1"/>
    </w:lvl>
    <w:lvl w:ilvl="1">
      <w:lvlJc w:val="left"/>
      <w:lvlText w:val="(%2)"/>
      <w:numFmt w:val="lowerRoman"/>
      <w:start w:val="1"/>
    </w:lvl>
  </w:abstractNum>
  <w:abstractNum w:abstractNumId="69">
    <w:nsid w:val="61E74EA3"/>
    <w:multiLevelType w:val="hybridMultilevel"/>
    <w:lvl w:ilvl="0">
      <w:lvlJc w:val="left"/>
      <w:lvlText w:val="•"/>
      <w:numFmt w:val="bullet"/>
      <w:start w:val="1"/>
    </w:lvl>
  </w:abstractNum>
  <w:abstractNum w:abstractNumId="70">
    <w:nsid w:val="597B4D84"/>
    <w:multiLevelType w:val="hybridMultilevel"/>
    <w:lvl w:ilvl="0">
      <w:lvlJc w:val="left"/>
      <w:lvlText w:val="•"/>
      <w:numFmt w:val="bullet"/>
      <w:start w:val="1"/>
    </w:lvl>
  </w:abstractNum>
  <w:abstractNum w:abstractNumId="71">
    <w:nsid w:val="F819E7F"/>
    <w:multiLevelType w:val="hybridMultilevel"/>
    <w:lvl w:ilvl="0">
      <w:lvlJc w:val="left"/>
      <w:lvlText w:val="(%1)"/>
      <w:numFmt w:val="lowerLetter"/>
      <w:start w:val="2"/>
    </w:lvl>
  </w:abstractNum>
  <w:abstractNum w:abstractNumId="72">
    <w:nsid w:val="57C7D42D"/>
    <w:multiLevelType w:val="hybridMultilevel"/>
    <w:lvl w:ilvl="0">
      <w:lvlJc w:val="left"/>
      <w:lvlText w:val="•"/>
      <w:numFmt w:val="bullet"/>
      <w:start w:val="1"/>
    </w:lvl>
  </w:abstractNum>
  <w:abstractNum w:abstractNumId="73">
    <w:nsid w:val="312167AD"/>
    <w:multiLevelType w:val="hybridMultilevel"/>
    <w:lvl w:ilvl="0">
      <w:lvlJc w:val="left"/>
      <w:lvlText w:val="•"/>
      <w:numFmt w:val="bullet"/>
      <w:start w:val="1"/>
    </w:lvl>
  </w:abstractNum>
  <w:abstractNum w:abstractNumId="74">
    <w:nsid w:val="631B64D4"/>
    <w:multiLevelType w:val="hybridMultilevel"/>
    <w:lvl w:ilvl="0">
      <w:lvlJc w:val="left"/>
      <w:lvlText w:val="•"/>
      <w:numFmt w:val="bullet"/>
      <w:start w:val="1"/>
    </w:lvl>
  </w:abstractNum>
  <w:abstractNum w:abstractNumId="75">
    <w:nsid w:val="78B5E776"/>
    <w:multiLevelType w:val="hybridMultilevel"/>
    <w:lvl w:ilvl="0">
      <w:lvlJc w:val="left"/>
      <w:lvlText w:val="•"/>
      <w:numFmt w:val="bullet"/>
      <w:start w:val="1"/>
    </w:lvl>
  </w:abstractNum>
  <w:abstractNum w:abstractNumId="76">
    <w:nsid w:val="75486E47"/>
    <w:multiLevelType w:val="hybridMultilevel"/>
    <w:lvl w:ilvl="0">
      <w:lvlJc w:val="left"/>
      <w:lvlText w:val="•"/>
      <w:numFmt w:val="bullet"/>
      <w:start w:val="1"/>
    </w:lvl>
  </w:abstractNum>
  <w:abstractNum w:abstractNumId="77">
    <w:nsid w:val="6E534CDE"/>
    <w:multiLevelType w:val="hybridMultilevel"/>
    <w:lvl w:ilvl="0">
      <w:lvlJc w:val="left"/>
      <w:lvlText w:val="•"/>
      <w:numFmt w:val="bullet"/>
      <w:start w:val="1"/>
    </w:lvl>
  </w:abstractNum>
  <w:abstractNum w:abstractNumId="78">
    <w:nsid w:val="1A0DDE32"/>
    <w:multiLevelType w:val="hybridMultilevel"/>
    <w:lvl w:ilvl="0">
      <w:lvlJc w:val="left"/>
      <w:lvlText w:val="(%1)"/>
      <w:numFmt w:val="lowerRoman"/>
      <w:start w:val="2"/>
    </w:lvl>
  </w:abstractNum>
  <w:abstractNum w:abstractNumId="79">
    <w:nsid w:val="65968C1C"/>
    <w:multiLevelType w:val="hybridMultilevel"/>
    <w:lvl w:ilvl="0">
      <w:lvlJc w:val="left"/>
      <w:lvlText w:val="(%1)"/>
      <w:numFmt w:val="lowerRoman"/>
      <w:start w:val="1"/>
    </w:lvl>
  </w:abstractNum>
  <w:abstractNum w:abstractNumId="80">
    <w:nsid w:val="46263DEC"/>
    <w:multiLevelType w:val="hybridMultilevel"/>
    <w:lvl w:ilvl="0">
      <w:lvlJc w:val="left"/>
      <w:lvlText w:val="•"/>
      <w:numFmt w:val="bullet"/>
      <w:start w:val="1"/>
    </w:lvl>
  </w:abstractNum>
  <w:abstractNum w:abstractNumId="81">
    <w:nsid w:val="260D8C4A"/>
    <w:multiLevelType w:val="hybridMultilevel"/>
    <w:lvl w:ilvl="0">
      <w:lvlJc w:val="left"/>
      <w:lvlText w:val="•"/>
      <w:numFmt w:val="bullet"/>
      <w:start w:val="1"/>
    </w:lvl>
  </w:abstractNum>
  <w:abstractNum w:abstractNumId="82">
    <w:nsid w:val="73D4D3C4"/>
    <w:multiLevelType w:val="hybridMultilevel"/>
    <w:lvl w:ilvl="0">
      <w:lvlJc w:val="left"/>
      <w:lvlText w:val="•"/>
      <w:numFmt w:val="bullet"/>
      <w:start w:val="1"/>
    </w:lvl>
  </w:abstractNum>
  <w:abstractNum w:abstractNumId="83">
    <w:nsid w:val="746F2E30"/>
    <w:multiLevelType w:val="hybridMultilevel"/>
    <w:lvl w:ilvl="0">
      <w:lvlJc w:val="left"/>
      <w:lvlText w:val="•"/>
      <w:numFmt w:val="bullet"/>
      <w:start w:val="1"/>
    </w:lvl>
  </w:abstractNum>
  <w:abstractNum w:abstractNumId="84">
    <w:nsid w:val="6FDE8AF6"/>
    <w:multiLevelType w:val="hybridMultilevel"/>
    <w:lvl w:ilvl="0">
      <w:lvlJc w:val="left"/>
      <w:lvlText w:val="•"/>
      <w:numFmt w:val="bullet"/>
      <w:start w:val="1"/>
    </w:lvl>
  </w:abstractNum>
  <w:abstractNum w:abstractNumId="85">
    <w:nsid w:val="3FC32E20"/>
    <w:multiLevelType w:val="hybridMultilevel"/>
    <w:lvl w:ilvl="0">
      <w:lvlJc w:val="left"/>
      <w:lvlText w:val="•"/>
      <w:numFmt w:val="bullet"/>
      <w:start w:val="1"/>
    </w:lvl>
  </w:abstractNum>
  <w:abstractNum w:abstractNumId="86">
    <w:nsid w:val="49C0E823"/>
    <w:multiLevelType w:val="hybridMultilevel"/>
    <w:lvl w:ilvl="0">
      <w:lvlJc w:val="left"/>
      <w:lvlText w:val="*"/>
      <w:numFmt w:val="bullet"/>
      <w:start w:val="1"/>
    </w:lvl>
  </w:abstractNum>
  <w:abstractNum w:abstractNumId="87">
    <w:nsid w:val="14D53685"/>
    <w:multiLevelType w:val="hybridMultilevel"/>
    <w:lvl w:ilvl="0">
      <w:lvlJc w:val="left"/>
      <w:lvlText w:val="**"/>
      <w:numFmt w:val="bullet"/>
      <w:start w:val="1"/>
    </w:lvl>
  </w:abstractNum>
  <w:abstractNum w:abstractNumId="88">
    <w:nsid w:val="230F856C"/>
    <w:multiLevelType w:val="hybridMultilevel"/>
    <w:lvl w:ilvl="0">
      <w:lvlJc w:val="left"/>
      <w:lvlText w:val="***"/>
      <w:numFmt w:val="bullet"/>
      <w:start w:val="1"/>
    </w:lvl>
  </w:abstractNum>
  <w:abstractNum w:abstractNumId="89">
    <w:nsid w:val="6EAA85FB"/>
    <w:multiLevelType w:val="hybridMultilevel"/>
    <w:lvl w:ilvl="0">
      <w:lvlJc w:val="left"/>
      <w:lvlText w:val="(%1)"/>
      <w:numFmt w:val="decimal"/>
      <w:start w:val="1"/>
    </w:lvl>
  </w:abstractNum>
  <w:abstractNum w:abstractNumId="90">
    <w:nsid w:val="3F06ECB2"/>
    <w:multiLevelType w:val="hybridMultilevel"/>
    <w:lvl w:ilvl="0">
      <w:lvlJc w:val="left"/>
      <w:lvlText w:val="(%1)"/>
      <w:numFmt w:val="decimal"/>
      <w:start w:val="7"/>
    </w:lvl>
  </w:abstractNum>
  <w:abstractNum w:abstractNumId="91">
    <w:nsid w:val="3B594807"/>
    <w:multiLevelType w:val="hybridMultilevel"/>
    <w:lvl w:ilvl="0">
      <w:lvlJc w:val="left"/>
      <w:lvlText w:val="(%1)"/>
      <w:numFmt w:val="decimal"/>
      <w:start w:val="10"/>
    </w:lvl>
  </w:abstractNum>
  <w:abstractNum w:abstractNumId="92">
    <w:nsid w:val="6CAA2304"/>
    <w:multiLevelType w:val="hybridMultilevel"/>
    <w:lvl w:ilvl="0">
      <w:lvlJc w:val="left"/>
      <w:lvlText w:val="•"/>
      <w:numFmt w:val="bullet"/>
      <w:start w:val="1"/>
    </w:lvl>
  </w:abstractNum>
  <w:abstractNum w:abstractNumId="93">
    <w:nsid w:val="3F7C2FF4"/>
    <w:multiLevelType w:val="hybridMultilevel"/>
    <w:lvl w:ilvl="0">
      <w:lvlJc w:val="left"/>
      <w:lvlText w:val="•"/>
      <w:numFmt w:val="bullet"/>
      <w:start w:val="1"/>
    </w:lvl>
  </w:abstractNum>
  <w:abstractNum w:abstractNumId="94">
    <w:nsid w:val="25413BEC"/>
    <w:multiLevelType w:val="hybridMultilevel"/>
    <w:lvl w:ilvl="0">
      <w:lvlJc w:val="left"/>
      <w:lvlText w:val="•"/>
      <w:numFmt w:val="bullet"/>
      <w:start w:val="1"/>
    </w:lvl>
  </w:abstractNum>
  <w:abstractNum w:abstractNumId="95">
    <w:nsid w:val="17180B0B"/>
    <w:multiLevelType w:val="hybridMultilevel"/>
    <w:lvl w:ilvl="0">
      <w:lvlJc w:val="left"/>
      <w:lvlText w:val="•"/>
      <w:numFmt w:val="bullet"/>
      <w:start w:val="1"/>
    </w:lvl>
  </w:abstractNum>
  <w:abstractNum w:abstractNumId="96">
    <w:nsid w:val="579328B9"/>
    <w:multiLevelType w:val="hybridMultilevel"/>
    <w:lvl w:ilvl="0">
      <w:lvlJc w:val="left"/>
      <w:lvlText w:val="•"/>
      <w:numFmt w:val="bullet"/>
      <w:start w:val="1"/>
    </w:lvl>
  </w:abstractNum>
  <w:abstractNum w:abstractNumId="97">
    <w:nsid w:val="5D205E20"/>
    <w:multiLevelType w:val="hybridMultilevel"/>
    <w:lvl w:ilvl="0">
      <w:lvlJc w:val="left"/>
      <w:lvlText w:val="(%1)"/>
      <w:numFmt w:val="lowerRoman"/>
      <w:start w:val="3"/>
    </w:lvl>
  </w:abstractNum>
  <w:abstractNum w:abstractNumId="98">
    <w:nsid w:val="11CCA8BA"/>
    <w:multiLevelType w:val="hybridMultilevel"/>
    <w:lvl w:ilvl="0">
      <w:lvlJc w:val="left"/>
      <w:lvlText w:val="(%1)"/>
      <w:numFmt w:val="decimal"/>
      <w:start w:val="6"/>
    </w:lvl>
  </w:abstractNum>
  <w:abstractNum w:abstractNumId="99">
    <w:nsid w:val="4D32AB86"/>
    <w:multiLevelType w:val="hybridMultilevel"/>
    <w:lvl w:ilvl="0">
      <w:lvlJc w:val="left"/>
      <w:lvlText w:val="(%1)"/>
      <w:numFmt w:val="decimal"/>
      <w:start w:val="15"/>
    </w:lvl>
  </w:abstractNum>
  <w:abstractNum w:abstractNumId="100">
    <w:nsid w:val="3F07ACC3"/>
    <w:multiLevelType w:val="hybridMultilevel"/>
    <w:lvl w:ilvl="0">
      <w:lvlJc w:val="left"/>
      <w:lvlText w:val="•"/>
      <w:numFmt w:val="bullet"/>
      <w:start w:val="1"/>
    </w:lvl>
  </w:abstractNum>
  <w:abstractNum w:abstractNumId="101">
    <w:nsid w:val="6B47F63E"/>
    <w:multiLevelType w:val="hybridMultilevel"/>
    <w:lvl w:ilvl="0">
      <w:lvlJc w:val="left"/>
      <w:lvlText w:val="•"/>
      <w:numFmt w:val="bullet"/>
      <w:start w:val="1"/>
    </w:lvl>
  </w:abstractNum>
  <w:abstractNum w:abstractNumId="102">
    <w:nsid w:val="5CB44A05"/>
    <w:multiLevelType w:val="hybridMultilevel"/>
    <w:lvl w:ilvl="0">
      <w:lvlJc w:val="left"/>
      <w:lvlText w:val="•"/>
      <w:numFmt w:val="bullet"/>
      <w:start w:val="1"/>
    </w:lvl>
  </w:abstractNum>
  <w:abstractNum w:abstractNumId="103">
    <w:nsid w:val="16CF80F1"/>
    <w:multiLevelType w:val="hybridMultilevel"/>
    <w:lvl w:ilvl="0">
      <w:lvlJc w:val="left"/>
      <w:lvlText w:val="•"/>
      <w:numFmt w:val="bullet"/>
      <w:start w:val="1"/>
    </w:lvl>
  </w:abstractNum>
  <w:abstractNum w:abstractNumId="104">
    <w:nsid w:val="1C695DEC"/>
    <w:multiLevelType w:val="hybridMultilevel"/>
    <w:lvl w:ilvl="0">
      <w:lvlJc w:val="left"/>
      <w:lvlText w:val="•"/>
      <w:numFmt w:val="bullet"/>
      <w:start w:val="1"/>
    </w:lvl>
  </w:abstractNum>
  <w:abstractNum w:abstractNumId="105">
    <w:nsid w:val="3FCFAED9"/>
    <w:multiLevelType w:val="hybridMultilevel"/>
    <w:lvl w:ilvl="0">
      <w:lvlJc w:val="left"/>
      <w:lvlText w:val="•"/>
      <w:numFmt w:val="bullet"/>
      <w:start w:val="1"/>
    </w:lvl>
  </w:abstractNum>
  <w:abstractNum w:abstractNumId="106">
    <w:nsid w:val="F856867"/>
    <w:multiLevelType w:val="hybridMultilevel"/>
    <w:lvl w:ilvl="0">
      <w:lvlJc w:val="left"/>
      <w:lvlText w:val="•"/>
      <w:numFmt w:val="bullet"/>
      <w:start w:val="1"/>
    </w:lvl>
  </w:abstractNum>
  <w:abstractNum w:abstractNumId="107">
    <w:nsid w:val="11B1CC33"/>
    <w:multiLevelType w:val="hybridMultilevel"/>
    <w:lvl w:ilvl="0">
      <w:lvlJc w:val="left"/>
      <w:lvlText w:val="•"/>
      <w:numFmt w:val="bullet"/>
      <w:start w:val="1"/>
    </w:lvl>
  </w:abstractNum>
  <w:abstractNum w:abstractNumId="108">
    <w:nsid w:val="2E22FBB7"/>
    <w:multiLevelType w:val="hybridMultilevel"/>
    <w:lvl w:ilvl="0">
      <w:lvlJc w:val="left"/>
      <w:lvlText w:val="•"/>
      <w:numFmt w:val="bullet"/>
      <w:start w:val="1"/>
    </w:lvl>
  </w:abstractNum>
  <w:abstractNum w:abstractNumId="109">
    <w:nsid w:val="29934699"/>
    <w:multiLevelType w:val="hybridMultilevel"/>
    <w:lvl w:ilvl="0">
      <w:lvlJc w:val="left"/>
      <w:lvlText w:val="•"/>
      <w:numFmt w:val="bullet"/>
      <w:start w:val="1"/>
    </w:lvl>
  </w:abstractNum>
  <w:abstractNum w:abstractNumId="110">
    <w:nsid w:val="77485850"/>
    <w:multiLevelType w:val="hybridMultilevel"/>
    <w:lvl w:ilvl="0">
      <w:lvlJc w:val="left"/>
      <w:lvlText w:val="•"/>
      <w:numFmt w:val="bullet"/>
      <w:start w:val="1"/>
    </w:lvl>
  </w:abstractNum>
  <w:abstractNum w:abstractNumId="111">
    <w:nsid w:val="744939A3"/>
    <w:multiLevelType w:val="hybridMultilevel"/>
    <w:lvl w:ilvl="0">
      <w:lvlJc w:val="left"/>
      <w:lvlText w:val="•"/>
      <w:numFmt w:val="bullet"/>
      <w:start w:val="1"/>
    </w:lvl>
  </w:abstractNum>
  <w:abstractNum w:abstractNumId="112">
    <w:nsid w:val="4FA0D2E3"/>
    <w:multiLevelType w:val="hybridMultilevel"/>
    <w:lvl w:ilvl="0">
      <w:lvlJc w:val="left"/>
      <w:lvlText w:val="•"/>
      <w:numFmt w:val="bullet"/>
      <w:start w:val="1"/>
    </w:lvl>
  </w:abstractNum>
  <w:abstractNum w:abstractNumId="113">
    <w:nsid w:val="6B1D2C14"/>
    <w:multiLevelType w:val="hybridMultilevel"/>
    <w:lvl w:ilvl="0">
      <w:lvlJc w:val="left"/>
      <w:lvlText w:val="•"/>
      <w:numFmt w:val="bullet"/>
      <w:start w:val="1"/>
    </w:lvl>
  </w:abstractNum>
  <w:abstractNum w:abstractNumId="114">
    <w:nsid w:val="68B867D3"/>
    <w:multiLevelType w:val="hybridMultilevel"/>
    <w:lvl w:ilvl="0">
      <w:lvlJc w:val="left"/>
      <w:lvlText w:val="•"/>
      <w:numFmt w:val="bullet"/>
      <w:start w:val="1"/>
    </w:lvl>
  </w:abstractNum>
  <w:abstractNum w:abstractNumId="115">
    <w:nsid w:val="3F7F5DD9"/>
    <w:multiLevelType w:val="hybridMultilevel"/>
    <w:lvl w:ilvl="0">
      <w:lvlJc w:val="left"/>
      <w:lvlText w:val="•"/>
      <w:numFmt w:val="bullet"/>
      <w:start w:val="1"/>
    </w:lvl>
  </w:abstractNum>
  <w:abstractNum w:abstractNumId="116">
    <w:nsid w:val="2AE05A34"/>
    <w:multiLevelType w:val="hybridMultilevel"/>
    <w:lvl w:ilvl="0">
      <w:lvlJc w:val="left"/>
      <w:lvlText w:val="•"/>
      <w:numFmt w:val="bullet"/>
      <w:start w:val="1"/>
    </w:lvl>
  </w:abstractNum>
  <w:abstractNum w:abstractNumId="117">
    <w:nsid w:val="32794FF7"/>
    <w:multiLevelType w:val="hybridMultilevel"/>
    <w:lvl w:ilvl="0">
      <w:lvlJc w:val="left"/>
      <w:lvlText w:val="•"/>
      <w:numFmt w:val="bullet"/>
      <w:start w:val="1"/>
    </w:lvl>
  </w:abstractNum>
  <w:abstractNum w:abstractNumId="118">
    <w:nsid w:val="5454945E"/>
    <w:multiLevelType w:val="hybridMultilevel"/>
    <w:lvl w:ilvl="0">
      <w:lvlJc w:val="left"/>
      <w:lvlText w:val="(%1)"/>
      <w:numFmt w:val="lowerLetter"/>
      <w:start w:val="2"/>
    </w:lvl>
  </w:abstractNum>
  <w:abstractNum w:abstractNumId="119">
    <w:nsid w:val="4DEFDFA0"/>
    <w:multiLevelType w:val="hybridMultilevel"/>
    <w:lvl w:ilvl="0">
      <w:lvlJc w:val="left"/>
      <w:lvlText w:val="•"/>
      <w:numFmt w:val="bullet"/>
      <w:start w:val="1"/>
    </w:lvl>
  </w:abstractNum>
  <w:abstractNum w:abstractNumId="120">
    <w:nsid w:val="2123D5F2"/>
    <w:multiLevelType w:val="hybridMultilevel"/>
    <w:lvl w:ilvl="0">
      <w:lvlJc w:val="left"/>
      <w:lvlText w:val="(%1)"/>
      <w:numFmt w:val="lowerRoman"/>
      <w:start w:val="8"/>
    </w:lvl>
  </w:abstractNum>
  <w:abstractNum w:abstractNumId="121">
    <w:nsid w:val="135B8110"/>
    <w:multiLevelType w:val="hybridMultilevel"/>
    <w:lvl w:ilvl="0">
      <w:lvlJc w:val="left"/>
      <w:lvlText w:val="(%1)"/>
      <w:numFmt w:val="lowerRoman"/>
      <w:start w:val="1"/>
    </w:lvl>
  </w:abstractNum>
  <w:abstractNum w:abstractNumId="122">
    <w:nsid w:val="94927A8"/>
    <w:multiLevelType w:val="hybridMultilevel"/>
    <w:lvl w:ilvl="0">
      <w:lvlJc w:val="left"/>
      <w:lvlText w:val="(%1)"/>
      <w:numFmt w:val="lowerRoman"/>
      <w:start w:val="3"/>
    </w:lvl>
  </w:abstractNum>
  <w:abstractNum w:abstractNumId="123">
    <w:nsid w:val="DCDF8F6"/>
    <w:multiLevelType w:val="hybridMultilevel"/>
    <w:lvl w:ilvl="0">
      <w:lvlJc w:val="left"/>
      <w:lvlText w:val="(%1)"/>
      <w:numFmt w:val="lowerLetter"/>
      <w:start w:val="1"/>
    </w:lvl>
  </w:abstractNum>
  <w:abstractNum w:abstractNumId="124">
    <w:nsid w:val="52D7B105"/>
    <w:multiLevelType w:val="hybridMultilevel"/>
    <w:lvl w:ilvl="0">
      <w:lvlJc w:val="left"/>
      <w:lvlText w:val="(%1)"/>
      <w:numFmt w:val="decimal"/>
      <w:start w:val="1"/>
    </w:lvl>
  </w:abstractNum>
  <w:abstractNum w:abstractNumId="125">
    <w:nsid w:val="2E8A6394"/>
    <w:multiLevelType w:val="hybridMultilevel"/>
    <w:lvl w:ilvl="0">
      <w:lvlJc w:val="left"/>
      <w:lvlText w:val="."/>
      <w:numFmt w:val="bullet"/>
      <w:start w:val="1"/>
    </w:lvl>
  </w:abstractNum>
  <w:abstractNum w:abstractNumId="126">
    <w:nsid w:val="24E60401"/>
    <w:multiLevelType w:val="hybridMultilevel"/>
    <w:lvl w:ilvl="0">
      <w:lvlJc w:val="left"/>
      <w:lvlText w:val="%1."/>
      <w:numFmt w:val="decimal"/>
      <w:start w:val="1"/>
    </w:lvl>
  </w:abstractNum>
  <w:abstractNum w:abstractNumId="127">
    <w:nsid w:val="2A6AD9BE"/>
    <w:multiLevelType w:val="hybridMultilevel"/>
    <w:lvl w:ilvl="0">
      <w:lvlJc w:val="left"/>
      <w:lvlText w:val="(%1)"/>
      <w:numFmt w:val="decimal"/>
      <w:start w:val="1"/>
    </w:lvl>
  </w:abstractNum>
  <w:abstractNum w:abstractNumId="128">
    <w:nsid w:val="BAAC1B4"/>
    <w:multiLevelType w:val="hybridMultilevel"/>
    <w:lvl w:ilvl="0">
      <w:lvlJc w:val="left"/>
      <w:lvlText w:val="%1."/>
      <w:numFmt w:val="decimal"/>
      <w:start w:val="2"/>
    </w:lvl>
  </w:abstractNum>
  <w:abstractNum w:abstractNumId="129">
    <w:nsid w:val="36B2ACBC"/>
    <w:multiLevelType w:val="hybridMultilevel"/>
    <w:lvl w:ilvl="0">
      <w:lvlJc w:val="left"/>
      <w:lvlText w:val="%1)"/>
      <w:numFmt w:val="decimal"/>
      <w:start w:val="1"/>
    </w:lvl>
  </w:abstractNum>
  <w:abstractNum w:abstractNumId="130">
    <w:nsid w:val="779D8544"/>
    <w:multiLevelType w:val="hybridMultilevel"/>
    <w:lvl w:ilvl="0">
      <w:lvlJc w:val="left"/>
      <w:lvlText w:val="%1."/>
      <w:numFmt w:val="decimal"/>
      <w:start w:val="2"/>
    </w:lvl>
  </w:abstractNum>
  <w:abstractNum w:abstractNumId="131">
    <w:nsid w:val="4AB26E78"/>
    <w:multiLevelType w:val="hybridMultilevel"/>
    <w:lvl w:ilvl="0">
      <w:lvlJc w:val="left"/>
      <w:lvlText w:val="%1)"/>
      <w:numFmt w:val="decimal"/>
      <w:start w:val="1"/>
    </w:lvl>
  </w:abstractNum>
  <w:abstractNum w:abstractNumId="132">
    <w:nsid w:val="21FAA2FA"/>
    <w:multiLevelType w:val="hybridMultilevel"/>
    <w:lvl w:ilvl="0">
      <w:lvlJc w:val="left"/>
      <w:lvlText w:val="%1."/>
      <w:numFmt w:val="decimal"/>
      <w:start w:val="2"/>
    </w:lvl>
  </w:abstractNum>
  <w:abstractNum w:abstractNumId="133">
    <w:nsid w:val="5451CF49"/>
    <w:multiLevelType w:val="hybridMultilevel"/>
    <w:lvl w:ilvl="0">
      <w:lvlJc w:val="left"/>
      <w:lvlText w:val="%1)"/>
      <w:numFmt w:val="decimal"/>
      <w:start w:val="2"/>
    </w:lvl>
  </w:abstractNum>
  <w:abstractNum w:abstractNumId="134">
    <w:nsid w:val="6181EF69"/>
    <w:multiLevelType w:val="hybridMultilevel"/>
    <w:lvl w:ilvl="0">
      <w:lvlJc w:val="left"/>
      <w:lvlText w:val="%1."/>
      <w:numFmt w:val="decimal"/>
      <w:start w:val="2"/>
    </w:lvl>
  </w:abstractNum>
  <w:abstractNum w:abstractNumId="135">
    <w:nsid w:val="3E6400E6"/>
    <w:multiLevelType w:val="hybridMultilevel"/>
    <w:lvl w:ilvl="0">
      <w:lvlJc w:val="left"/>
      <w:lvlText w:val="%1)"/>
      <w:numFmt w:val="decimal"/>
      <w:start w:val="2"/>
    </w:lvl>
  </w:abstractNum>
  <w:abstractNum w:abstractNumId="136">
    <w:nsid w:val="14217E23"/>
    <w:multiLevelType w:val="hybridMultilevel"/>
    <w:lvl w:ilvl="0">
      <w:lvlJc w:val="left"/>
      <w:lvlText w:val="•"/>
      <w:numFmt w:val="bullet"/>
      <w:start w:val="1"/>
    </w:lvl>
  </w:abstractNum>
  <w:abstractNum w:abstractNumId="137">
    <w:nsid w:val="710757D0"/>
    <w:multiLevelType w:val="hybridMultilevel"/>
    <w:lvl w:ilvl="0">
      <w:lvlJc w:val="left"/>
      <w:lvlText w:val="%1."/>
      <w:numFmt w:val="decimal"/>
      <w:start w:val="2"/>
    </w:lvl>
  </w:abstractNum>
  <w:abstractNum w:abstractNumId="138">
    <w:nsid w:val="5015CD1A"/>
    <w:multiLevelType w:val="hybridMultilevel"/>
    <w:lvl w:ilvl="0">
      <w:lvlJc w:val="left"/>
      <w:lvlText w:val="%1."/>
      <w:numFmt w:val="decimal"/>
      <w:start w:val="2"/>
    </w:lvl>
  </w:abstractNum>
  <w:abstractNum w:abstractNumId="139">
    <w:nsid w:val="424479DA"/>
    <w:multiLevelType w:val="hybridMultilevel"/>
    <w:lvl w:ilvl="0">
      <w:lvlJc w:val="left"/>
      <w:lvlText w:val="%1."/>
      <w:numFmt w:val="decimal"/>
      <w:start w:val="2"/>
    </w:lvl>
  </w:abstractNum>
  <w:abstractNum w:abstractNumId="140">
    <w:nsid w:val="1A9A9E69"/>
    <w:multiLevelType w:val="hybridMultilevel"/>
    <w:lvl w:ilvl="0">
      <w:lvlJc w:val="left"/>
      <w:lvlText w:val="%1)"/>
      <w:numFmt w:val="decimal"/>
      <w:start w:val="1"/>
    </w:lvl>
  </w:abstractNum>
  <w:abstractNum w:abstractNumId="141">
    <w:nsid w:val="475E256A"/>
    <w:multiLevelType w:val="hybridMultilevel"/>
    <w:lvl w:ilvl="0">
      <w:lvlJc w:val="left"/>
      <w:lvlText w:val="%1)"/>
      <w:numFmt w:val="decimal"/>
      <w:start w:val="2"/>
    </w:lvl>
  </w:abstractNum>
  <w:abstractNum w:abstractNumId="142">
    <w:nsid w:val="368DB37E"/>
    <w:multiLevelType w:val="hybridMultilevel"/>
    <w:lvl w:ilvl="0">
      <w:lvlJc w:val="left"/>
      <w:lvlText w:val="%1."/>
      <w:numFmt w:val="decimal"/>
      <w:start w:val="2"/>
    </w:lvl>
  </w:abstractNum>
  <w:abstractNum w:abstractNumId="143">
    <w:nsid w:val="6A3B714C"/>
    <w:multiLevelType w:val="hybridMultilevel"/>
    <w:lvl w:ilvl="0">
      <w:lvlJc w:val="left"/>
      <w:lvlText w:val="%1)"/>
      <w:numFmt w:val="decimal"/>
      <w:start w:val="3"/>
    </w:lvl>
  </w:abstractNum>
  <w:abstractNum w:abstractNumId="144">
    <w:nsid w:val="327B517E"/>
    <w:multiLevelType w:val="hybridMultilevel"/>
    <w:lvl w:ilvl="0">
      <w:lvlJc w:val="left"/>
      <w:lvlText w:val="%1)"/>
      <w:numFmt w:val="decimal"/>
      <w:start w:val="1"/>
    </w:lvl>
  </w:abstractNum>
  <w:abstractNum w:abstractNumId="145">
    <w:nsid w:val="1F461B51"/>
    <w:multiLevelType w:val="hybridMultilevel"/>
    <w:lvl w:ilvl="0">
      <w:lvlJc w:val="left"/>
      <w:lvlText w:val="%1."/>
      <w:numFmt w:val="decimal"/>
      <w:start w:val="2"/>
    </w:lvl>
  </w:abstractNum>
  <w:abstractNum w:abstractNumId="146">
    <w:nsid w:val="29BACF25"/>
    <w:multiLevelType w:val="hybridMultilevel"/>
    <w:lvl w:ilvl="0">
      <w:lvlJc w:val="left"/>
      <w:lvlText w:val="%1)"/>
      <w:numFmt w:val="decimal"/>
      <w:start w:val="1"/>
    </w:lvl>
  </w:abstractNum>
  <w:abstractNum w:abstractNumId="147">
    <w:nsid w:val="5D5BABB3"/>
    <w:multiLevelType w:val="hybridMultilevel"/>
    <w:lvl w:ilvl="0">
      <w:lvlJc w:val="left"/>
      <w:lvlText w:val="%1)"/>
      <w:numFmt w:val="decimal"/>
      <w:start w:val="2"/>
    </w:lvl>
  </w:abstractNum>
  <w:abstractNum w:abstractNumId="148">
    <w:nsid w:val="51BF6B48"/>
    <w:multiLevelType w:val="hybridMultilevel"/>
    <w:lvl w:ilvl="0">
      <w:lvlJc w:val="left"/>
      <w:lvlText w:val="%1."/>
      <w:numFmt w:val="decimal"/>
      <w:start w:val="2"/>
    </w:lvl>
  </w:abstractNum>
  <w:abstractNum w:abstractNumId="149">
    <w:nsid w:val="7E0F6384"/>
    <w:multiLevelType w:val="hybridMultilevel"/>
    <w:lvl w:ilvl="0">
      <w:lvlJc w:val="left"/>
      <w:lvlText w:val="%1."/>
      <w:numFmt w:val="decimal"/>
      <w:start w:val="2"/>
    </w:lvl>
  </w:abstractNum>
  <w:abstractNum w:abstractNumId="150">
    <w:nsid w:val="2B4B8B53"/>
    <w:multiLevelType w:val="hybridMultilevel"/>
    <w:lvl w:ilvl="0">
      <w:lvlJc w:val="left"/>
      <w:lvlText w:val="%1."/>
      <w:numFmt w:val="decimal"/>
      <w:start w:val="2"/>
    </w:lvl>
  </w:abstractNum>
  <w:abstractNum w:abstractNumId="151">
    <w:nsid w:val="72E3413A"/>
    <w:multiLevelType w:val="hybridMultilevel"/>
    <w:lvl w:ilvl="0">
      <w:lvlJc w:val="left"/>
      <w:lvlText w:val="%1."/>
      <w:numFmt w:val="decimal"/>
      <w:start w:val="2"/>
    </w:lvl>
  </w:abstractNum>
  <w:abstractNum w:abstractNumId="152">
    <w:nsid w:val="116AE494"/>
    <w:multiLevelType w:val="hybridMultilevel"/>
    <w:lvl w:ilvl="0">
      <w:lvlJc w:val="left"/>
      <w:lvlText w:val="%1."/>
      <w:numFmt w:val="decimal"/>
      <w:start w:val="2"/>
    </w:lvl>
  </w:abstractNum>
  <w:abstractNum w:abstractNumId="153">
    <w:nsid w:val="3494B2FB"/>
    <w:multiLevelType w:val="hybridMultilevel"/>
    <w:lvl w:ilvl="0">
      <w:lvlJc w:val="left"/>
      <w:lvlText w:val="%1)"/>
      <w:numFmt w:val="decimal"/>
      <w:start w:val="1"/>
    </w:lvl>
  </w:abstractNum>
  <w:abstractNum w:abstractNumId="154">
    <w:nsid w:val="B13A31"/>
    <w:multiLevelType w:val="hybridMultilevel"/>
    <w:lvl w:ilvl="0">
      <w:lvlJc w:val="left"/>
      <w:lvlText w:val="%1)"/>
      <w:numFmt w:val="decimal"/>
      <w:start w:val="2"/>
    </w:lvl>
  </w:abstractNum>
  <w:abstractNum w:abstractNumId="155">
    <w:nsid w:val="64429599"/>
    <w:multiLevelType w:val="hybridMultilevel"/>
    <w:lvl w:ilvl="0">
      <w:lvlJc w:val="left"/>
      <w:lvlText w:val="%1."/>
      <w:numFmt w:val="decimal"/>
      <w:start w:val="2"/>
    </w:lvl>
  </w:abstractNum>
  <w:abstractNum w:abstractNumId="156">
    <w:nsid w:val="631F1690"/>
    <w:multiLevelType w:val="hybridMultilevel"/>
    <w:lvl w:ilvl="0">
      <w:lvlJc w:val="left"/>
      <w:lvlText w:val="%1)"/>
      <w:numFmt w:val="decimal"/>
      <w:start w:val="1"/>
    </w:lvl>
  </w:abstractNum>
  <w:abstractNum w:abstractNumId="157">
    <w:nsid w:val="25973E32"/>
    <w:multiLevelType w:val="hybridMultilevel"/>
    <w:lvl w:ilvl="0">
      <w:lvlJc w:val="left"/>
      <w:lvlText w:val="%1)"/>
      <w:numFmt w:val="decimal"/>
      <w:start w:val="2"/>
    </w:lvl>
  </w:abstractNum>
  <w:abstractNum w:abstractNumId="158">
    <w:nsid w:val="EAD6F57"/>
    <w:multiLevelType w:val="hybridMultilevel"/>
    <w:lvl w:ilvl="0">
      <w:lvlJc w:val="left"/>
      <w:lvlText w:val="%1."/>
      <w:numFmt w:val="decimal"/>
      <w:start w:val="2"/>
    </w:lvl>
  </w:abstractNum>
  <w:abstractNum w:abstractNumId="159">
    <w:nsid w:val="6EC9D844"/>
    <w:multiLevelType w:val="hybridMultilevel"/>
    <w:lvl w:ilvl="0">
      <w:lvlJc w:val="left"/>
      <w:lvlText w:val="%1)"/>
      <w:numFmt w:val="decimal"/>
      <w:start w:val="2"/>
    </w:lvl>
  </w:abstractNum>
  <w:abstractNum w:abstractNumId="160">
    <w:nsid w:val="5C49EAEE"/>
    <w:multiLevelType w:val="hybridMultilevel"/>
    <w:lvl w:ilvl="0">
      <w:lvlJc w:val="left"/>
      <w:lvlText w:val="%1)"/>
      <w:numFmt w:val="decimal"/>
      <w:start w:val="3"/>
    </w:lvl>
  </w:abstractNum>
  <w:abstractNum w:abstractNumId="161">
    <w:nsid w:val="64AF49B"/>
    <w:multiLevelType w:val="hybridMultilevel"/>
    <w:lvl w:ilvl="0">
      <w:lvlJc w:val="left"/>
      <w:lvlText w:val="%1."/>
      <w:numFmt w:val="decimal"/>
      <w:start w:val="2"/>
    </w:lvl>
  </w:abstractNum>
  <w:abstractNum w:abstractNumId="162">
    <w:nsid w:val="397C46BC"/>
    <w:multiLevelType w:val="hybridMultilevel"/>
    <w:lvl w:ilvl="0">
      <w:lvlJc w:val="left"/>
      <w:lvlText w:val="%1."/>
      <w:numFmt w:val="decimal"/>
      <w:start w:val="3"/>
    </w:lvl>
  </w:abstractNum>
  <w:abstractNum w:abstractNumId="163">
    <w:nsid w:val="7E448DE9"/>
    <w:multiLevelType w:val="hybridMultilevel"/>
    <w:lvl w:ilvl="0">
      <w:lvlJc w:val="left"/>
      <w:lvlText w:val="%1."/>
      <w:numFmt w:val="decimal"/>
      <w:start w:val="3"/>
    </w:lvl>
  </w:abstractNum>
  <w:abstractNum w:abstractNumId="164">
    <w:nsid w:val="5A9CC3E5"/>
    <w:multiLevelType w:val="hybridMultilevel"/>
    <w:lvl w:ilvl="0">
      <w:lvlJc w:val="left"/>
      <w:lvlText w:val="%1."/>
      <w:numFmt w:val="decimal"/>
      <w:start w:val="3"/>
    </w:lvl>
  </w:abstractNum>
  <w:abstractNum w:abstractNumId="165">
    <w:nsid w:val="1AFE3625"/>
    <w:multiLevelType w:val="hybridMultilevel"/>
    <w:lvl w:ilvl="0">
      <w:lvlJc w:val="left"/>
      <w:lvlText w:val="%1."/>
      <w:numFmt w:val="decimal"/>
      <w:start w:val="3"/>
    </w:lvl>
  </w:abstractNum>
  <w:abstractNum w:abstractNumId="166">
    <w:nsid w:val="3CA88ECF"/>
    <w:multiLevelType w:val="hybridMultilevel"/>
    <w:lvl w:ilvl="0">
      <w:lvlJc w:val="left"/>
      <w:lvlText w:val="(%1)"/>
      <w:numFmt w:val="decimal"/>
      <w:start w:val="1"/>
    </w:lvl>
  </w:abstractNum>
  <w:abstractNum w:abstractNumId="167">
    <w:nsid w:val="6EBE4208"/>
    <w:multiLevelType w:val="hybridMultilevel"/>
    <w:lvl w:ilvl="0">
      <w:lvlJc w:val="left"/>
      <w:lvlText w:val="%1."/>
      <w:numFmt w:val="decimal"/>
      <w:start w:val="4"/>
    </w:lvl>
  </w:abstractNum>
  <w:abstractNum w:abstractNumId="168">
    <w:nsid w:val="C058DF5"/>
    <w:multiLevelType w:val="hybridMultilevel"/>
    <w:lvl w:ilvl="0">
      <w:lvlJc w:val="left"/>
      <w:lvlText w:val="%1."/>
      <w:numFmt w:val="decimal"/>
      <w:start w:val="8"/>
    </w:lvl>
  </w:abstractNum>
  <w:abstractNum w:abstractNumId="169">
    <w:nsid w:val="CBE5BE9"/>
    <w:multiLevelType w:val="hybridMultilevel"/>
    <w:lvl w:ilvl="0">
      <w:lvlJc w:val="left"/>
      <w:lvlText w:val="%1."/>
      <w:numFmt w:val="decimal"/>
      <w:start w:val="8"/>
    </w:lvl>
  </w:abstractNum>
  <w:abstractNum w:abstractNumId="170">
    <w:nsid w:val="3102BBE2"/>
    <w:multiLevelType w:val="hybridMultilevel"/>
    <w:lvl w:ilvl="0">
      <w:lvlJc w:val="left"/>
      <w:lvlText w:val="%1."/>
      <w:numFmt w:val="decimal"/>
      <w:start w:val="8"/>
    </w:lvl>
  </w:abstractNum>
  <w:abstractNum w:abstractNumId="171">
    <w:nsid w:val="26A02C5E"/>
    <w:multiLevelType w:val="hybridMultilevel"/>
    <w:lvl w:ilvl="0">
      <w:lvlJc w:val="left"/>
      <w:lvlText w:val="%1."/>
      <w:numFmt w:val="decimal"/>
      <w:start w:val="9"/>
    </w:lvl>
  </w:abstractNum>
  <w:abstractNum w:abstractNumId="172">
    <w:nsid w:val="541C8153"/>
    <w:multiLevelType w:val="hybridMultilevel"/>
    <w:lvl w:ilvl="0">
      <w:lvlJc w:val="left"/>
      <w:lvlText w:val="%1."/>
      <w:numFmt w:val="decimal"/>
      <w:start w:val="11"/>
    </w:lvl>
  </w:abstractNum>
  <w:abstractNum w:abstractNumId="173">
    <w:nsid w:val="67906F60"/>
    <w:multiLevelType w:val="hybridMultilevel"/>
    <w:lvl w:ilvl="0">
      <w:lvlJc w:val="left"/>
      <w:lvlText w:val="%1."/>
      <w:numFmt w:val="decimal"/>
      <w:start w:val="12"/>
    </w:lvl>
  </w:abstractNum>
  <w:abstractNum w:abstractNumId="174">
    <w:nsid w:val="10DB9DAA"/>
    <w:multiLevelType w:val="hybridMultilevel"/>
    <w:lvl w:ilvl="0">
      <w:lvlJc w:val="left"/>
      <w:lvlText w:val="%1."/>
      <w:numFmt w:val="decimal"/>
      <w:start w:val="12"/>
    </w:lvl>
  </w:abstractNum>
  <w:abstractNum w:abstractNumId="175">
    <w:nsid w:val="697D2D2"/>
    <w:multiLevelType w:val="hybridMultilevel"/>
    <w:lvl w:ilvl="0">
      <w:lvlJc w:val="left"/>
      <w:lvlText w:val="%1)"/>
      <w:numFmt w:val="decimal"/>
      <w:start w:val="1"/>
    </w:lvl>
  </w:abstractNum>
  <w:abstractNum w:abstractNumId="176">
    <w:nsid w:val="6D68AB2"/>
    <w:multiLevelType w:val="hybridMultilevel"/>
    <w:lvl w:ilvl="0">
      <w:lvlJc w:val="left"/>
      <w:lvlText w:val="%1)"/>
      <w:numFmt w:val="decimal"/>
      <w:start w:val="2"/>
    </w:lvl>
  </w:abstractNum>
  <w:abstractNum w:abstractNumId="177">
    <w:nsid w:val="3A966CD0"/>
    <w:multiLevelType w:val="hybridMultilevel"/>
    <w:lvl w:ilvl="0">
      <w:lvlJc w:val="left"/>
      <w:lvlText w:val="%1."/>
      <w:numFmt w:val="decimal"/>
      <w:start w:val="12"/>
    </w:lvl>
    <w:lvl w:ilvl="1">
      <w:lvlJc w:val="left"/>
      <w:lvlText w:val="%2)"/>
      <w:numFmt w:val="lowerRoman"/>
      <w:start w:val="1"/>
    </w:lvl>
  </w:abstractNum>
  <w:abstractNum w:abstractNumId="178">
    <w:nsid w:val="63F37E85"/>
    <w:multiLevelType w:val="hybridMultilevel"/>
    <w:lvl w:ilvl="0">
      <w:lvlJc w:val="left"/>
      <w:lvlText w:val="%1)"/>
      <w:numFmt w:val="lowerRoman"/>
      <w:start w:val="1"/>
    </w:lvl>
  </w:abstractNum>
  <w:abstractNum w:abstractNumId="179">
    <w:nsid w:val="5895F5FA"/>
    <w:multiLevelType w:val="hybridMultilevel"/>
    <w:lvl w:ilvl="0">
      <w:lvlJc w:val="left"/>
      <w:lvlText w:val="%1."/>
      <w:numFmt w:val="decimal"/>
      <w:start w:val="12"/>
    </w:lvl>
  </w:abstractNum>
  <w:abstractNum w:abstractNumId="180">
    <w:nsid w:val="38A5D054"/>
    <w:multiLevelType w:val="hybridMultilevel"/>
    <w:lvl w:ilvl="0">
      <w:lvlJc w:val="left"/>
      <w:lvlText w:val="%1)"/>
      <w:numFmt w:val="lowerRoman"/>
      <w:start w:val="3"/>
    </w:lvl>
  </w:abstractNum>
  <w:abstractNum w:abstractNumId="181">
    <w:nsid w:val="F3F09D8"/>
    <w:multiLevelType w:val="hybridMultilevel"/>
    <w:lvl w:ilvl="0">
      <w:lvlJc w:val="left"/>
      <w:lvlText w:val="%1."/>
      <w:numFmt w:val="decimal"/>
      <w:start w:val="12"/>
    </w:lvl>
  </w:abstractNum>
  <w:abstractNum w:abstractNumId="182">
    <w:nsid w:val="4B793735"/>
    <w:multiLevelType w:val="hybridMultilevel"/>
    <w:lvl w:ilvl="0">
      <w:lvlJc w:val="left"/>
      <w:lvlText w:val="%1."/>
      <w:numFmt w:val="decimal"/>
      <w:start w:val="13"/>
    </w:lvl>
  </w:abstractNum>
  <w:abstractNum w:abstractNumId="183">
    <w:nsid w:val="4A10B4E8"/>
    <w:multiLevelType w:val="hybridMultilevel"/>
    <w:lvl w:ilvl="0">
      <w:lvlJc w:val="left"/>
      <w:lvlText w:val="%1."/>
      <w:numFmt w:val="decimal"/>
      <w:start w:val="13"/>
    </w:lvl>
  </w:abstractNum>
  <w:abstractNum w:abstractNumId="184">
    <w:nsid w:val="43D3BCD4"/>
    <w:multiLevelType w:val="hybridMultilevel"/>
    <w:lvl w:ilvl="0">
      <w:lvlJc w:val="left"/>
      <w:lvlText w:val="%1."/>
      <w:numFmt w:val="decimal"/>
      <w:start w:val="13"/>
    </w:lvl>
  </w:abstractNum>
  <w:abstractNum w:abstractNumId="185">
    <w:nsid w:val="4C2A7166"/>
    <w:multiLevelType w:val="hybridMultilevel"/>
    <w:lvl w:ilvl="0">
      <w:lvlJc w:val="left"/>
      <w:lvlText w:val="%1."/>
      <w:numFmt w:val="decimal"/>
      <w:start w:val="14"/>
    </w:lvl>
  </w:abstractNum>
  <w:abstractNum w:abstractNumId="186">
    <w:nsid w:val="2E534A82"/>
    <w:multiLevelType w:val="hybridMultilevel"/>
    <w:lvl w:ilvl="0">
      <w:lvlJc w:val="left"/>
      <w:lvlText w:val="%1."/>
      <w:numFmt w:val="decimal"/>
      <w:start w:val="15"/>
    </w:lvl>
  </w:abstractNum>
  <w:abstractNum w:abstractNumId="187">
    <w:nsid w:val="26F2D364"/>
    <w:multiLevelType w:val="hybridMultilevel"/>
    <w:lvl w:ilvl="0">
      <w:lvlJc w:val="left"/>
      <w:lvlText w:val="%1."/>
      <w:numFmt w:val="decimal"/>
      <w:start w:val="15"/>
    </w:lvl>
  </w:abstractNum>
  <w:abstractNum w:abstractNumId="188">
    <w:nsid w:val="71C1AF98"/>
    <w:multiLevelType w:val="hybridMultilevel"/>
    <w:lvl w:ilvl="0">
      <w:lvlJc w:val="left"/>
      <w:lvlText w:val="%1."/>
      <w:numFmt w:val="decimal"/>
      <w:start w:val="16"/>
    </w:lvl>
  </w:abstractNum>
  <w:abstractNum w:abstractNumId="189">
    <w:nsid w:val="3D00B9D9"/>
    <w:multiLevelType w:val="hybridMultilevel"/>
    <w:lvl w:ilvl="0">
      <w:lvlJc w:val="left"/>
      <w:lvlText w:val="%1."/>
      <w:numFmt w:val="decimal"/>
      <w:start w:val="21"/>
    </w:lvl>
  </w:abstractNum>
  <w:abstractNum w:abstractNumId="190">
    <w:nsid w:val="15BCABA8"/>
    <w:multiLevelType w:val="hybridMultilevel"/>
    <w:lvl w:ilvl="0">
      <w:lvlJc w:val="left"/>
      <w:lvlText w:val="%1."/>
      <w:numFmt w:val="decimal"/>
      <w:start w:val="22"/>
    </w:lvl>
  </w:abstractNum>
  <w:abstractNum w:abstractNumId="191">
    <w:nsid w:val="4E0B9A87"/>
    <w:multiLevelType w:val="hybridMultilevel"/>
    <w:lvl w:ilvl="0">
      <w:lvlJc w:val="left"/>
      <w:lvlText w:val="%1)"/>
      <w:numFmt w:val="decimal"/>
      <w:start w:val="1"/>
    </w:lvl>
  </w:abstractNum>
  <w:abstractNum w:abstractNumId="192">
    <w:nsid w:val="434BAE75"/>
    <w:multiLevelType w:val="hybridMultilevel"/>
    <w:lvl w:ilvl="0">
      <w:lvlJc w:val="left"/>
      <w:lvlText w:val="%1)"/>
      <w:numFmt w:val="decimal"/>
      <w:start w:val="2"/>
    </w:lvl>
  </w:abstractNum>
  <w:abstractNum w:abstractNumId="193">
    <w:nsid w:val="4F38F265"/>
    <w:multiLevelType w:val="hybridMultilevel"/>
    <w:lvl w:ilvl="0">
      <w:lvlJc w:val="left"/>
      <w:lvlText w:val="%1)"/>
      <w:numFmt w:val="decimal"/>
      <w:start w:val="3"/>
    </w:lvl>
  </w:abstractNum>
  <w:abstractNum w:abstractNumId="194">
    <w:nsid w:val="4C502870"/>
    <w:multiLevelType w:val="hybridMultilevel"/>
    <w:lvl w:ilvl="0">
      <w:lvlJc w:val="left"/>
      <w:lvlText w:val="%1."/>
      <w:numFmt w:val="decimal"/>
      <w:start w:val="22"/>
    </w:lvl>
  </w:abstractNum>
  <w:abstractNum w:abstractNumId="195">
    <w:nsid w:val="1DE8725A"/>
    <w:multiLevelType w:val="hybridMultilevel"/>
    <w:lvl w:ilvl="0">
      <w:lvlJc w:val="left"/>
      <w:lvlText w:val="%1)"/>
      <w:numFmt w:val="decimal"/>
      <w:start w:val="3"/>
    </w:lvl>
  </w:abstractNum>
  <w:abstractNum w:abstractNumId="196">
    <w:nsid w:val="6A37288A"/>
    <w:multiLevelType w:val="hybridMultilevel"/>
    <w:lvl w:ilvl="0">
      <w:lvlJc w:val="left"/>
      <w:lvlText w:val="%1."/>
      <w:numFmt w:val="decimal"/>
      <w:start w:val="22"/>
    </w:lvl>
  </w:abstractNum>
  <w:abstractNum w:abstractNumId="197">
    <w:nsid w:val="8F8B73F"/>
    <w:multiLevelType w:val="hybridMultilevel"/>
    <w:lvl w:ilvl="0">
      <w:lvlJc w:val="left"/>
      <w:lvlText w:val="%1."/>
      <w:numFmt w:val="decimal"/>
      <w:start w:val="22"/>
    </w:lvl>
  </w:abstractNum>
  <w:abstractNum w:abstractNumId="198">
    <w:nsid w:val="CA6B462"/>
    <w:multiLevelType w:val="hybridMultilevel"/>
    <w:lvl w:ilvl="0">
      <w:lvlJc w:val="left"/>
      <w:lvlText w:val="%1."/>
      <w:numFmt w:val="decimal"/>
      <w:start w:val="23"/>
    </w:lvl>
  </w:abstractNum>
  <w:abstractNum w:abstractNumId="199">
    <w:nsid w:val="763CB680"/>
    <w:multiLevelType w:val="hybridMultilevel"/>
    <w:lvl w:ilvl="0">
      <w:lvlJc w:val="left"/>
      <w:lvlText w:val="%1."/>
      <w:numFmt w:val="decimal"/>
      <w:start w:val="24"/>
    </w:lvl>
  </w:abstractNum>
  <w:abstractNum w:abstractNumId="200">
    <w:nsid w:val="15B71329"/>
    <w:multiLevelType w:val="hybridMultilevel"/>
    <w:lvl w:ilvl="0">
      <w:lvlJc w:val="left"/>
      <w:lvlText w:val="%1."/>
      <w:numFmt w:val="decimal"/>
      <w:start w:val="25"/>
    </w:lvl>
  </w:abstractNum>
  <w:abstractNum w:abstractNumId="201">
    <w:nsid w:val="3DA97044"/>
    <w:multiLevelType w:val="hybridMultilevel"/>
    <w:lvl w:ilvl="0">
      <w:lvlJc w:val="left"/>
      <w:lvlText w:val="%1."/>
      <w:numFmt w:val="decimal"/>
      <w:start w:val="25"/>
    </w:lvl>
  </w:abstractNum>
  <w:abstractNum w:abstractNumId="202">
    <w:nsid w:val="1CDCE2DE"/>
    <w:multiLevelType w:val="hybridMultilevel"/>
    <w:lvl w:ilvl="0">
      <w:lvlJc w:val="left"/>
      <w:lvlText w:val="%1."/>
      <w:numFmt w:val="decimal"/>
      <w:start w:val="26"/>
    </w:lvl>
  </w:abstractNum>
  <w:abstractNum w:abstractNumId="203">
    <w:nsid w:val="69D3947C"/>
    <w:multiLevelType w:val="hybridMultilevel"/>
    <w:lvl w:ilvl="0">
      <w:lvlJc w:val="left"/>
      <w:lvlText w:val="(%1)"/>
      <w:numFmt w:val="lowerLetter"/>
      <w:start w:val="1"/>
    </w:lvl>
  </w:abstractNum>
  <w:abstractNum w:abstractNumId="204">
    <w:nsid w:val="2539DFA5"/>
    <w:multiLevelType w:val="hybridMultilevel"/>
    <w:lvl w:ilvl="0">
      <w:lvlJc w:val="left"/>
      <w:lvlText w:val="%1."/>
      <w:numFmt w:val="decimal"/>
      <w:start w:val="26"/>
    </w:lvl>
  </w:abstractNum>
  <w:abstractNum w:abstractNumId="205">
    <w:nsid w:val="2DB88089"/>
    <w:multiLevelType w:val="hybridMultilevel"/>
    <w:lvl w:ilvl="0">
      <w:lvlJc w:val="left"/>
      <w:lvlText w:val="(%1)"/>
      <w:numFmt w:val="lowerLetter"/>
      <w:start w:val="2"/>
    </w:lvl>
  </w:abstractNum>
  <w:abstractNum w:abstractNumId="206">
    <w:nsid w:val="706B674E"/>
    <w:multiLevelType w:val="hybridMultilevel"/>
    <w:lvl w:ilvl="0">
      <w:lvlJc w:val="left"/>
      <w:lvlText w:val="%1."/>
      <w:numFmt w:val="decimal"/>
      <w:start w:val="26"/>
    </w:lvl>
  </w:abstractNum>
  <w:abstractNum w:abstractNumId="207">
    <w:nsid w:val="2C106A57"/>
    <w:multiLevelType w:val="hybridMultilevel"/>
    <w:lvl w:ilvl="0">
      <w:lvlJc w:val="left"/>
      <w:lvlText w:val="(%1)"/>
      <w:numFmt w:val="lowerLetter"/>
      <w:start w:val="6"/>
    </w:lvl>
  </w:abstractNum>
  <w:abstractNum w:abstractNumId="208">
    <w:nsid w:val="684EED59"/>
    <w:multiLevelType w:val="hybridMultilevel"/>
    <w:lvl w:ilvl="0">
      <w:lvlJc w:val="left"/>
      <w:lvlText w:val="%1."/>
      <w:numFmt w:val="decimal"/>
      <w:start w:val="27"/>
    </w:lvl>
  </w:abstractNum>
  <w:abstractNum w:abstractNumId="209">
    <w:nsid w:val="545EE5D3"/>
    <w:multiLevelType w:val="hybridMultilevel"/>
    <w:lvl w:ilvl="0">
      <w:lvlJc w:val="left"/>
      <w:lvlText w:val="%1."/>
      <w:numFmt w:val="decimal"/>
      <w:start w:val="28"/>
    </w:lvl>
  </w:abstractNum>
  <w:abstractNum w:abstractNumId="210">
    <w:nsid w:val="4A66051"/>
    <w:multiLevelType w:val="hybridMultilevel"/>
    <w:lvl w:ilvl="0">
      <w:lvlJc w:val="left"/>
      <w:lvlText w:val="%1."/>
      <w:numFmt w:val="decimal"/>
      <w:start w:val="28"/>
    </w:lvl>
  </w:abstractNum>
  <w:abstractNum w:abstractNumId="211">
    <w:nsid w:val="20F4BDAD"/>
    <w:multiLevelType w:val="hybridMultilevel"/>
    <w:lvl w:ilvl="0">
      <w:lvlJc w:val="left"/>
      <w:lvlText w:val="%1."/>
      <w:numFmt w:val="decimal"/>
      <w:start w:val="29"/>
    </w:lvl>
  </w:abstractNum>
  <w:abstractNum w:abstractNumId="212">
    <w:nsid w:val="639DEFAC"/>
    <w:multiLevelType w:val="hybridMultilevel"/>
    <w:lvl w:ilvl="0">
      <w:lvlJc w:val="left"/>
      <w:lvlText w:val="%1."/>
      <w:numFmt w:val="decimal"/>
      <w:start w:val="29"/>
    </w:lvl>
  </w:abstractNum>
  <w:abstractNum w:abstractNumId="213">
    <w:nsid w:val="501F9786"/>
    <w:multiLevelType w:val="hybridMultilevel"/>
    <w:lvl w:ilvl="0">
      <w:lvlJc w:val="left"/>
      <w:lvlText w:val="%1."/>
      <w:numFmt w:val="decimal"/>
      <w:start w:val="29"/>
    </w:lvl>
  </w:abstractNum>
  <w:abstractNum w:abstractNumId="214">
    <w:nsid w:val="6B057295"/>
    <w:multiLevelType w:val="hybridMultilevel"/>
    <w:lvl w:ilvl="0">
      <w:lvlJc w:val="left"/>
      <w:lvlText w:val="%1."/>
      <w:numFmt w:val="decimal"/>
      <w:start w:val="29"/>
    </w:lvl>
  </w:abstractNum>
  <w:abstractNum w:abstractNumId="215">
    <w:nsid w:val="2771AC80"/>
    <w:multiLevelType w:val="hybridMultilevel"/>
    <w:lvl w:ilvl="0">
      <w:lvlJc w:val="left"/>
      <w:lvlText w:val="%1."/>
      <w:numFmt w:val="decimal"/>
      <w:start w:val="29"/>
    </w:lvl>
  </w:abstractNum>
  <w:abstractNum w:abstractNumId="216">
    <w:nsid w:val="1C4A08EC"/>
    <w:multiLevelType w:val="hybridMultilevel"/>
    <w:lvl w:ilvl="0">
      <w:lvlJc w:val="left"/>
      <w:lvlText w:val="%1."/>
      <w:numFmt w:val="decimal"/>
      <w:start w:val="29"/>
    </w:lvl>
  </w:abstractNum>
  <w:abstractNum w:abstractNumId="217">
    <w:nsid w:val="1958BD17"/>
    <w:multiLevelType w:val="hybridMultilevel"/>
    <w:lvl w:ilvl="0">
      <w:lvlJc w:val="left"/>
      <w:lvlText w:val="(%1)"/>
      <w:numFmt w:val="decimal"/>
      <w:start w:val="1"/>
    </w:lvl>
  </w:abstractNum>
  <w:abstractNum w:abstractNumId="218">
    <w:nsid w:val="4E647F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2019-12-08T18:42:43Z</dcterms:created>
  <dcterms:modified xsi:type="dcterms:W3CDTF">2019-12-08T18:42:43Z</dcterms:modified>
</cp:coreProperties>
</file>