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7" w:lineRule="exact"/>
        <w:rPr>
          <w:sz w:val="24"/>
          <w:szCs w:val="24"/>
          <w:color w:val="auto"/>
        </w:rPr>
      </w:pPr>
    </w:p>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70580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7058025"/>
                    </a:xfrm>
                    <a:prstGeom prst="rect">
                      <a:avLst/>
                    </a:prstGeom>
                    <a:noFill/>
                  </pic:spPr>
                </pic:pic>
              </a:graphicData>
            </a:graphic>
          </wp:anchor>
        </w:drawing>
      </w:r>
    </w:p>
    <w:p>
      <w:pPr>
        <w:sectPr>
          <w:pgSz w:w="11900" w:h="16996"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Li Hua</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660" w:type="dxa"/>
            <w:vAlign w:val="bottom"/>
            <w:tcBorders>
              <w:top w:val="single" w:sz="8" w:color="0000EE"/>
              <w:bottom w:val="single" w:sz="8" w:color="9A9A9A"/>
            </w:tcBorders>
          </w:tcPr>
          <w:p>
            <w:pPr>
              <w:spacing w:after="0"/>
              <w:rPr>
                <w:sz w:val="17"/>
                <w:szCs w:val="17"/>
                <w:color w:val="auto"/>
              </w:rPr>
            </w:pPr>
          </w:p>
        </w:tc>
        <w:tc>
          <w:tcPr>
            <w:tcW w:w="24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03/17/2026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Futu Holdings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FUTU</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996" w:orient="portrait"/>
          <w:cols w:equalWidth="0" w:num="2">
            <w:col w:w="4720" w:space="280"/>
            <w:col w:w="5940"/>
          </w:cols>
          <w:pgMar w:left="480" w:top="230" w:right="479" w:bottom="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34F, UNITED CENTRE,</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95 QUEENSWAY, ADMIRALTY</w:t>
      </w:r>
    </w:p>
    <w:p>
      <w:pPr>
        <w:spacing w:after="0" w:line="349"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ind w:left="140"/>
        <w:spacing w:after="0" w:line="183" w:lineRule="auto"/>
        <w:tabs>
          <w:tab w:leader="none" w:pos="1140" w:val="left"/>
        </w:tabs>
        <w:rPr>
          <w:sz w:val="20"/>
          <w:szCs w:val="20"/>
          <w:color w:val="auto"/>
        </w:rPr>
      </w:pPr>
      <w:r>
        <w:rPr>
          <w:rFonts w:ascii="Times New Roman" w:cs="Times New Roman" w:eastAsia="Times New Roman" w:hAnsi="Times New Roman"/>
          <w:sz w:val="18"/>
          <w:szCs w:val="18"/>
          <w:color w:val="0000FF"/>
        </w:rPr>
        <w:t>HONG</w:t>
      </w:r>
      <w:r>
        <w:rPr>
          <w:sz w:val="20"/>
          <w:szCs w:val="20"/>
          <w:color w:val="auto"/>
        </w:rPr>
        <w:tab/>
      </w:r>
      <w:r>
        <w:rPr>
          <w:rFonts w:ascii="Times New Roman" w:cs="Times New Roman" w:eastAsia="Times New Roman" w:hAnsi="Times New Roman"/>
          <w:sz w:val="34"/>
          <w:szCs w:val="34"/>
          <w:color w:val="0000FF"/>
          <w:vertAlign w:val="subscript"/>
        </w:rPr>
        <w:t>K3</w:t>
      </w:r>
    </w:p>
    <w:p>
      <w:pPr>
        <w:spacing w:after="0" w:line="1"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KONG</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4"/>
          <w:szCs w:val="24"/>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23"/>
        <w:spacing w:after="0"/>
        <w:rPr>
          <w:sz w:val="20"/>
          <w:szCs w:val="20"/>
          <w:color w:val="auto"/>
        </w:rPr>
      </w:pPr>
      <w:r>
        <w:rPr>
          <w:rFonts w:ascii="Times New Roman" w:cs="Times New Roman" w:eastAsia="Times New Roman" w:hAnsi="Times New Roman"/>
          <w:sz w:val="20"/>
          <w:szCs w:val="20"/>
          <w:color w:val="0000FF"/>
        </w:rPr>
        <w:t>Chief Executive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1" w:lineRule="exact"/>
        <w:rPr>
          <w:sz w:val="24"/>
          <w:szCs w:val="24"/>
          <w:color w:val="auto"/>
        </w:rPr>
      </w:pPr>
    </w:p>
    <w:p>
      <w:pPr>
        <w:sectPr>
          <w:pgSz w:w="11900" w:h="16996" w:orient="portrait"/>
          <w:cols w:equalWidth="0" w:num="3">
            <w:col w:w="4277" w:space="720"/>
            <w:col w:w="3003" w:space="269"/>
            <w:col w:w="2671"/>
          </w:cols>
          <w:pgMar w:left="480" w:top="230" w:right="479" w:bottom="0" w:gutter="0" w:footer="0" w:header="0"/>
          <w:type w:val="continuous"/>
        </w:sectPr>
      </w:pPr>
    </w:p>
    <w:p>
      <w:pPr>
        <w:spacing w:after="0" w:line="149"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p>
        </w:tc>
        <w:tc>
          <w:tcPr>
            <w:tcW w:w="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ind w:left="680"/>
              <w:spacing w:after="0"/>
              <w:rPr>
                <w:sz w:val="20"/>
                <w:szCs w:val="20"/>
                <w:color w:val="auto"/>
              </w:rPr>
            </w:pPr>
            <w:r>
              <w:rPr>
                <w:rFonts w:ascii="Times New Roman" w:cs="Times New Roman" w:eastAsia="Times New Roman" w:hAnsi="Times New Roman"/>
                <w:sz w:val="20"/>
                <w:szCs w:val="20"/>
                <w:color w:val="0000FF"/>
              </w:rPr>
              <w:t>50,000,000</w:t>
            </w:r>
          </w:p>
        </w:tc>
        <w:tc>
          <w:tcPr>
            <w:tcW w:w="1180" w:type="dxa"/>
            <w:vAlign w:val="bottom"/>
            <w:tcBorders>
              <w:bottom w:val="single" w:sz="8" w:color="2C2C2C"/>
            </w:tcBorders>
          </w:tcPr>
          <w:p>
            <w:pPr>
              <w:ind w:left="1040"/>
              <w:spacing w:after="0"/>
              <w:rPr>
                <w:sz w:val="20"/>
                <w:szCs w:val="20"/>
                <w:color w:val="auto"/>
              </w:rPr>
            </w:pPr>
            <w:r>
              <w:rPr>
                <w:rFonts w:ascii="Times New Roman" w:cs="Times New Roman" w:eastAsia="Times New Roman" w:hAnsi="Times New Roman"/>
                <w:sz w:val="20"/>
                <w:szCs w:val="20"/>
                <w:color w:val="0000FF"/>
              </w:rPr>
              <w:t>I</w:t>
            </w:r>
          </w:p>
        </w:tc>
        <w:tc>
          <w:tcPr>
            <w:tcW w:w="3340" w:type="dxa"/>
            <w:vAlign w:val="bottom"/>
            <w:tcBorders>
              <w:bottom w:val="single" w:sz="8" w:color="2C2C2C"/>
            </w:tcBorders>
            <w:gridSpan w:val="4"/>
          </w:tcPr>
          <w:p>
            <w:pPr>
              <w:ind w:left="560"/>
              <w:spacing w:after="0"/>
              <w:rPr>
                <w:sz w:val="20"/>
                <w:szCs w:val="20"/>
                <w:color w:val="auto"/>
              </w:rPr>
            </w:pPr>
            <w:r>
              <w:rPr>
                <w:rFonts w:ascii="Times New Roman" w:cs="Times New Roman" w:eastAsia="Times New Roman" w:hAnsi="Times New Roman"/>
                <w:sz w:val="20"/>
                <w:szCs w:val="20"/>
                <w:color w:val="0000FF"/>
              </w:rPr>
              <w:t>By Lera Ultimate Limited</w:t>
            </w:r>
            <w:r>
              <w:rPr>
                <w:rFonts w:ascii="Times New Roman" w:cs="Times New Roman" w:eastAsia="Times New Roman" w:hAnsi="Times New Roman"/>
                <w:sz w:val="25"/>
                <w:szCs w:val="25"/>
                <w:color w:val="008000"/>
                <w:vertAlign w:val="superscript"/>
              </w:rPr>
              <w:t>(1)</w:t>
            </w: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5720" w:type="dxa"/>
            <w:vAlign w:val="bottom"/>
            <w:tcBorders>
              <w:top w:val="single" w:sz="8" w:color="2C2C2C"/>
            </w:tcBorders>
            <w:gridSpan w:val="5"/>
          </w:tcPr>
          <w:p>
            <w:pPr>
              <w:jc w:val="right"/>
              <w:ind w:right="748"/>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800" w:type="dxa"/>
            <w:vAlign w:val="bottom"/>
            <w:gridSpan w:val="6"/>
          </w:tcPr>
          <w:p>
            <w:pPr>
              <w:jc w:val="right"/>
              <w:ind w:right="348"/>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9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8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8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86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2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8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 (Instr.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11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20" w:type="dxa"/>
            <w:vAlign w:val="bottom"/>
            <w:gridSpan w:val="2"/>
            <w:vMerge w:val="restart"/>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180" w:type="dxa"/>
            <w:vAlign w:val="bottom"/>
            <w:vMerge w:val="restart"/>
          </w:tcPr>
          <w:p>
            <w:pPr>
              <w:ind w:left="12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980" w:type="dxa"/>
            <w:vAlign w:val="bottom"/>
          </w:tcPr>
          <w:p>
            <w:pPr>
              <w:ind w:left="6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00" w:type="dxa"/>
            <w:vAlign w:val="bottom"/>
          </w:tcPr>
          <w:p>
            <w:pPr>
              <w:ind w:left="60"/>
              <w:spacing w:after="0" w:line="150"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w w:val="98"/>
              </w:rPr>
              <w:t>Expiration</w:t>
            </w:r>
          </w:p>
        </w:tc>
        <w:tc>
          <w:tcPr>
            <w:tcW w:w="16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18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80" w:type="dxa"/>
            <w:vAlign w:val="bottom"/>
            <w:vMerge w:val="continue"/>
          </w:tcPr>
          <w:p>
            <w:pPr>
              <w:spacing w:after="0"/>
              <w:rPr>
                <w:sz w:val="17"/>
                <w:szCs w:val="17"/>
                <w:color w:val="auto"/>
              </w:rPr>
            </w:pPr>
          </w:p>
        </w:tc>
        <w:tc>
          <w:tcPr>
            <w:tcW w:w="1180" w:type="dxa"/>
            <w:vAlign w:val="bottom"/>
          </w:tcPr>
          <w:p>
            <w:pPr>
              <w:ind w:left="12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American Depositary Shares</w:t>
            </w:r>
          </w:p>
        </w:tc>
        <w:tc>
          <w:tcPr>
            <w:tcW w:w="108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rPr>
              <w:t>(2)</w:t>
            </w: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86,568</w:t>
            </w:r>
          </w:p>
        </w:tc>
        <w:tc>
          <w:tcPr>
            <w:tcW w:w="980" w:type="dxa"/>
            <w:vAlign w:val="bottom"/>
            <w:vMerge w:val="restart"/>
          </w:tcPr>
          <w:p>
            <w:pPr>
              <w:jc w:val="right"/>
              <w:ind w:right="348"/>
              <w:spacing w:after="0"/>
              <w:rPr>
                <w:sz w:val="20"/>
                <w:szCs w:val="20"/>
                <w:color w:val="auto"/>
              </w:rPr>
            </w:pPr>
            <w:r>
              <w:rPr>
                <w:rFonts w:ascii="Times New Roman" w:cs="Times New Roman" w:eastAsia="Times New Roman" w:hAnsi="Times New Roman"/>
                <w:sz w:val="13"/>
                <w:szCs w:val="13"/>
                <w:color w:val="008000"/>
              </w:rPr>
              <w:t>(2)</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shares</w:t>
            </w:r>
          </w:p>
        </w:tc>
        <w:tc>
          <w:tcPr>
            <w:tcW w:w="11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8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1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0000FF"/>
              </w:rPr>
              <w:t>By Lera</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American Depositary Shares</w:t>
            </w:r>
          </w:p>
        </w:tc>
        <w:tc>
          <w:tcPr>
            <w:tcW w:w="108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rPr>
              <w:t>(2)</w:t>
            </w:r>
          </w:p>
        </w:tc>
        <w:tc>
          <w:tcPr>
            <w:tcW w:w="1680" w:type="dxa"/>
            <w:vAlign w:val="bottom"/>
            <w:vMerge w:val="continue"/>
          </w:tcPr>
          <w:p>
            <w:pPr>
              <w:spacing w:after="0"/>
              <w:rPr>
                <w:sz w:val="10"/>
                <w:szCs w:val="10"/>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50,000,000</w:t>
            </w:r>
          </w:p>
        </w:tc>
        <w:tc>
          <w:tcPr>
            <w:tcW w:w="980" w:type="dxa"/>
            <w:vAlign w:val="bottom"/>
            <w:vMerge w:val="restart"/>
          </w:tcPr>
          <w:p>
            <w:pPr>
              <w:jc w:val="right"/>
              <w:ind w:right="348"/>
              <w:spacing w:after="0"/>
              <w:rPr>
                <w:sz w:val="20"/>
                <w:szCs w:val="20"/>
                <w:color w:val="auto"/>
              </w:rPr>
            </w:pPr>
            <w:r>
              <w:rPr>
                <w:rFonts w:ascii="Times New Roman" w:cs="Times New Roman" w:eastAsia="Times New Roman" w:hAnsi="Times New Roman"/>
                <w:sz w:val="13"/>
                <w:szCs w:val="13"/>
                <w:color w:val="008000"/>
              </w:rPr>
              <w:t>(2)</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2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0000FF"/>
              </w:rPr>
              <w:t>Ultimate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shares</w:t>
            </w:r>
          </w:p>
        </w:tc>
        <w:tc>
          <w:tcPr>
            <w:tcW w:w="11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80" w:type="dxa"/>
            <w:vAlign w:val="bottom"/>
            <w:vMerge w:val="continue"/>
          </w:tcPr>
          <w:p>
            <w:pPr>
              <w:spacing w:after="0"/>
              <w:rPr>
                <w:sz w:val="11"/>
                <w:szCs w:val="11"/>
                <w:color w:val="auto"/>
              </w:rPr>
            </w:pPr>
          </w:p>
        </w:tc>
        <w:tc>
          <w:tcPr>
            <w:tcW w:w="1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0000FF"/>
              </w:rPr>
              <w:t>Limited</w:t>
            </w:r>
            <w:r>
              <w:rPr>
                <w:rFonts w:ascii="Times New Roman" w:cs="Times New Roman" w:eastAsia="Times New Roman" w:hAnsi="Times New Roman"/>
                <w:sz w:val="25"/>
                <w:szCs w:val="25"/>
                <w:color w:val="008000"/>
                <w:vertAlign w:val="superscript"/>
              </w:rPr>
              <w:t>(1)</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1680" w:type="dxa"/>
            <w:vAlign w:val="bottom"/>
            <w:tcBorders>
              <w:bottom w:val="single" w:sz="8" w:color="2C2C2C"/>
            </w:tcBorders>
          </w:tcPr>
          <w:p>
            <w:pPr>
              <w:spacing w:after="0"/>
              <w:rPr>
                <w:sz w:val="16"/>
                <w:szCs w:val="16"/>
                <w:color w:val="auto"/>
              </w:rPr>
            </w:pPr>
          </w:p>
        </w:tc>
        <w:tc>
          <w:tcPr>
            <w:tcW w:w="118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40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1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0000FF"/>
              </w:rPr>
              <w:t>By Lera</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American Depositary Shares</w:t>
            </w:r>
          </w:p>
        </w:tc>
        <w:tc>
          <w:tcPr>
            <w:tcW w:w="108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rPr>
              <w:t>(2)</w:t>
            </w:r>
          </w:p>
        </w:tc>
        <w:tc>
          <w:tcPr>
            <w:tcW w:w="1680" w:type="dxa"/>
            <w:vAlign w:val="bottom"/>
            <w:vMerge w:val="continue"/>
          </w:tcPr>
          <w:p>
            <w:pPr>
              <w:spacing w:after="0"/>
              <w:rPr>
                <w:sz w:val="10"/>
                <w:szCs w:val="10"/>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64,000,000</w:t>
            </w:r>
          </w:p>
        </w:tc>
        <w:tc>
          <w:tcPr>
            <w:tcW w:w="980" w:type="dxa"/>
            <w:vAlign w:val="bottom"/>
            <w:vMerge w:val="restart"/>
          </w:tcPr>
          <w:p>
            <w:pPr>
              <w:jc w:val="right"/>
              <w:ind w:right="348"/>
              <w:spacing w:after="0"/>
              <w:rPr>
                <w:sz w:val="20"/>
                <w:szCs w:val="20"/>
                <w:color w:val="auto"/>
              </w:rPr>
            </w:pPr>
            <w:r>
              <w:rPr>
                <w:rFonts w:ascii="Times New Roman" w:cs="Times New Roman" w:eastAsia="Times New Roman" w:hAnsi="Times New Roman"/>
                <w:sz w:val="13"/>
                <w:szCs w:val="13"/>
                <w:color w:val="008000"/>
              </w:rPr>
              <w:t>(2)</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2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0000FF"/>
              </w:rPr>
              <w:t>Infinity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shares</w:t>
            </w:r>
          </w:p>
        </w:tc>
        <w:tc>
          <w:tcPr>
            <w:tcW w:w="11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80" w:type="dxa"/>
            <w:vAlign w:val="bottom"/>
            <w:vMerge w:val="continue"/>
          </w:tcPr>
          <w:p>
            <w:pPr>
              <w:spacing w:after="0"/>
              <w:rPr>
                <w:sz w:val="11"/>
                <w:szCs w:val="11"/>
                <w:color w:val="auto"/>
              </w:rPr>
            </w:pPr>
          </w:p>
        </w:tc>
        <w:tc>
          <w:tcPr>
            <w:tcW w:w="1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0000FF"/>
              </w:rPr>
              <w:t>Limited</w:t>
            </w:r>
            <w:r>
              <w:rPr>
                <w:rFonts w:ascii="Times New Roman" w:cs="Times New Roman" w:eastAsia="Times New Roman" w:hAnsi="Times New Roman"/>
                <w:sz w:val="25"/>
                <w:szCs w:val="25"/>
                <w:color w:val="008000"/>
                <w:vertAlign w:val="superscript"/>
              </w:rPr>
              <w:t>(1)</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1680" w:type="dxa"/>
            <w:vAlign w:val="bottom"/>
            <w:tcBorders>
              <w:bottom w:val="single" w:sz="8" w:color="2C2C2C"/>
            </w:tcBorders>
          </w:tcPr>
          <w:p>
            <w:pPr>
              <w:spacing w:after="0"/>
              <w:rPr>
                <w:sz w:val="16"/>
                <w:szCs w:val="16"/>
                <w:color w:val="auto"/>
              </w:rPr>
            </w:pPr>
          </w:p>
        </w:tc>
        <w:tc>
          <w:tcPr>
            <w:tcW w:w="118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40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1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0000FF"/>
              </w:rPr>
              <w:t>By Lera</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Class B ordinary shares</w:t>
            </w:r>
          </w:p>
        </w:tc>
        <w:tc>
          <w:tcPr>
            <w:tcW w:w="108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rPr>
              <w:t>(3)</w:t>
            </w:r>
          </w:p>
        </w:tc>
        <w:tc>
          <w:tcPr>
            <w:tcW w:w="1680" w:type="dxa"/>
            <w:vAlign w:val="bottom"/>
            <w:vMerge w:val="continue"/>
          </w:tcPr>
          <w:p>
            <w:pPr>
              <w:spacing w:after="0"/>
              <w:rPr>
                <w:sz w:val="10"/>
                <w:szCs w:val="10"/>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202,812,500</w:t>
            </w:r>
          </w:p>
        </w:tc>
        <w:tc>
          <w:tcPr>
            <w:tcW w:w="980" w:type="dxa"/>
            <w:vAlign w:val="bottom"/>
            <w:vMerge w:val="restart"/>
          </w:tcPr>
          <w:p>
            <w:pPr>
              <w:jc w:val="right"/>
              <w:ind w:right="348"/>
              <w:spacing w:after="0"/>
              <w:rPr>
                <w:sz w:val="20"/>
                <w:szCs w:val="20"/>
                <w:color w:val="auto"/>
              </w:rPr>
            </w:pPr>
            <w:r>
              <w:rPr>
                <w:rFonts w:ascii="Times New Roman" w:cs="Times New Roman" w:eastAsia="Times New Roman" w:hAnsi="Times New Roman"/>
                <w:sz w:val="13"/>
                <w:szCs w:val="13"/>
                <w:color w:val="008000"/>
              </w:rPr>
              <w:t>(3)</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2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0000FF"/>
              </w:rPr>
              <w:t>Ultimate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shares</w:t>
            </w:r>
          </w:p>
        </w:tc>
        <w:tc>
          <w:tcPr>
            <w:tcW w:w="11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80" w:type="dxa"/>
            <w:vAlign w:val="bottom"/>
            <w:vMerge w:val="continue"/>
          </w:tcPr>
          <w:p>
            <w:pPr>
              <w:spacing w:after="0"/>
              <w:rPr>
                <w:sz w:val="11"/>
                <w:szCs w:val="11"/>
                <w:color w:val="auto"/>
              </w:rPr>
            </w:pPr>
          </w:p>
        </w:tc>
        <w:tc>
          <w:tcPr>
            <w:tcW w:w="1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0000FF"/>
              </w:rPr>
              <w:t>Limited</w:t>
            </w:r>
            <w:r>
              <w:rPr>
                <w:rFonts w:ascii="Times New Roman" w:cs="Times New Roman" w:eastAsia="Times New Roman" w:hAnsi="Times New Roman"/>
                <w:sz w:val="25"/>
                <w:szCs w:val="25"/>
                <w:color w:val="008000"/>
                <w:vertAlign w:val="superscript"/>
              </w:rPr>
              <w:t>(1)</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1680" w:type="dxa"/>
            <w:vAlign w:val="bottom"/>
            <w:tcBorders>
              <w:bottom w:val="single" w:sz="8" w:color="2C2C2C"/>
            </w:tcBorders>
          </w:tcPr>
          <w:p>
            <w:pPr>
              <w:spacing w:after="0"/>
              <w:rPr>
                <w:sz w:val="16"/>
                <w:szCs w:val="16"/>
                <w:color w:val="auto"/>
              </w:rPr>
            </w:pPr>
          </w:p>
        </w:tc>
        <w:tc>
          <w:tcPr>
            <w:tcW w:w="118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40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1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0000FF"/>
              </w:rPr>
              <w:t>By Lera</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Class B ordinary shares</w:t>
            </w:r>
          </w:p>
        </w:tc>
        <w:tc>
          <w:tcPr>
            <w:tcW w:w="108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rPr>
              <w:t>(3)</w:t>
            </w:r>
          </w:p>
        </w:tc>
        <w:tc>
          <w:tcPr>
            <w:tcW w:w="1680" w:type="dxa"/>
            <w:vAlign w:val="bottom"/>
            <w:vMerge w:val="continue"/>
          </w:tcPr>
          <w:p>
            <w:pPr>
              <w:spacing w:after="0"/>
              <w:rPr>
                <w:sz w:val="10"/>
                <w:szCs w:val="10"/>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36,937,500</w:t>
            </w:r>
          </w:p>
        </w:tc>
        <w:tc>
          <w:tcPr>
            <w:tcW w:w="980" w:type="dxa"/>
            <w:vAlign w:val="bottom"/>
            <w:vMerge w:val="restart"/>
          </w:tcPr>
          <w:p>
            <w:pPr>
              <w:jc w:val="right"/>
              <w:ind w:right="348"/>
              <w:spacing w:after="0"/>
              <w:rPr>
                <w:sz w:val="20"/>
                <w:szCs w:val="20"/>
                <w:color w:val="auto"/>
              </w:rPr>
            </w:pPr>
            <w:r>
              <w:rPr>
                <w:rFonts w:ascii="Times New Roman" w:cs="Times New Roman" w:eastAsia="Times New Roman" w:hAnsi="Times New Roman"/>
                <w:sz w:val="13"/>
                <w:szCs w:val="13"/>
                <w:color w:val="008000"/>
              </w:rPr>
              <w:t>(3)</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2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0000FF"/>
              </w:rPr>
              <w:t>Infinity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shares</w:t>
            </w:r>
          </w:p>
        </w:tc>
        <w:tc>
          <w:tcPr>
            <w:tcW w:w="11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80" w:type="dxa"/>
            <w:vAlign w:val="bottom"/>
            <w:vMerge w:val="continue"/>
          </w:tcPr>
          <w:p>
            <w:pPr>
              <w:spacing w:after="0"/>
              <w:rPr>
                <w:sz w:val="11"/>
                <w:szCs w:val="11"/>
                <w:color w:val="auto"/>
              </w:rPr>
            </w:pPr>
          </w:p>
        </w:tc>
        <w:tc>
          <w:tcPr>
            <w:tcW w:w="1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2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0000FF"/>
              </w:rPr>
              <w:t>Limited</w:t>
            </w:r>
            <w:r>
              <w:rPr>
                <w:rFonts w:ascii="Times New Roman" w:cs="Times New Roman" w:eastAsia="Times New Roman" w:hAnsi="Times New Roman"/>
                <w:sz w:val="25"/>
                <w:szCs w:val="25"/>
                <w:color w:val="008000"/>
                <w:vertAlign w:val="superscript"/>
              </w:rPr>
              <w:t>(1)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32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reporting person disclaims beneficial ownership of these securities except to the extent of his pecuniary interest therein, and the inclusion of these securities in this report shall not be deemed an admission of beneficial ownership of all of the reported securities for purposes of Section 16 or for any other purpose.</w:t>
      </w:r>
    </w:p>
    <w:p>
      <w:pPr>
        <w:spacing w:after="0" w:line="17" w:lineRule="exact"/>
        <w:rPr>
          <w:rFonts w:ascii="Times New Roman" w:cs="Times New Roman" w:eastAsia="Times New Roman" w:hAnsi="Times New Roman"/>
          <w:sz w:val="15"/>
          <w:szCs w:val="15"/>
          <w:color w:val="008000"/>
        </w:rPr>
      </w:pPr>
    </w:p>
    <w:p>
      <w:pPr>
        <w:ind w:left="40" w:right="30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American Depositary Share is convertible at any time, at the holder's election, into eight Class A ordinary shares of the issuer. The American Depositary Shares have no expiration date.</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Class B ordinary share is convertible into one Class A ordinary share of the issuer at any time, at the holder's election, and has no expiration date.</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5"/>
              </w:rPr>
              <w:t>/s/ Leaf Hua Li</w:t>
            </w:r>
          </w:p>
        </w:tc>
        <w:tc>
          <w:tcPr>
            <w:tcW w:w="100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03/17/2026</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90"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ectPr>
          <w:pgSz w:w="11900" w:h="16996" w:orient="portrait"/>
          <w:cols w:equalWidth="0" w:num="1">
            <w:col w:w="10940"/>
          </w:cols>
          <w:pgMar w:left="480" w:top="230" w:right="479" w:bottom="0" w:gutter="0" w:footer="0" w:header="0"/>
          <w:type w:val="continuous"/>
        </w:sectPr>
      </w:pPr>
    </w:p>
    <w:bookmarkStart w:id="1" w:name="page2"/>
    <w:bookmarkEnd w:id="1"/>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5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0" Type="http://schemas.openxmlformats.org/officeDocument/2006/relationships/hyperlink" Target="http://www.sec.gov/cgi-bin/browse-edgar?action=getcompany&amp;CIK=0001801983" TargetMode="External"/><Relationship Id="rId11" Type="http://schemas.openxmlformats.org/officeDocument/2006/relationships/hyperlink" Target="http://www.sec.gov/cgi-bin/browse-edgar?action=getcompany&amp;CIK=0001754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2026-03-17T08:50:00Z</dcterms:created>
  <dcterms:modified xsi:type="dcterms:W3CDTF">2026-03-17T08:50:00Z</dcterms:modified>
</cp:coreProperties>
</file>